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6F86" w:rsidRPr="00F549DF" w:rsidRDefault="00596F86" w:rsidP="00596F86">
      <w:pPr>
        <w:spacing w:after="0" w:line="276" w:lineRule="auto"/>
        <w:contextualSpacing/>
        <w:jc w:val="center"/>
        <w:rPr>
          <w:rFonts w:ascii="Arial" w:eastAsia="Times New Roman" w:hAnsi="Arial" w:cs="Arial"/>
          <w:b/>
          <w:bCs/>
          <w:color w:val="002060"/>
          <w:kern w:val="28"/>
          <w:sz w:val="28"/>
          <w:szCs w:val="28"/>
          <w:lang w:val="uz-Cyrl-UZ"/>
        </w:rPr>
      </w:pPr>
      <w:r w:rsidRPr="00F549DF">
        <w:rPr>
          <w:rFonts w:ascii="Arial" w:eastAsia="Times New Roman" w:hAnsi="Arial" w:cs="Arial"/>
          <w:b/>
          <w:bCs/>
          <w:noProof/>
          <w:color w:val="002060"/>
          <w:kern w:val="28"/>
          <w:sz w:val="28"/>
          <w:szCs w:val="28"/>
          <w:lang w:eastAsia="ru-RU"/>
        </w:rPr>
        <w:drawing>
          <wp:anchor distT="0" distB="0" distL="114300" distR="114300" simplePos="0" relativeHeight="251659264" behindDoc="0" locked="0" layoutInCell="1" allowOverlap="1" wp14:anchorId="79D9FC3D" wp14:editId="3AAEA559">
            <wp:simplePos x="0" y="0"/>
            <wp:positionH relativeFrom="column">
              <wp:posOffset>1613535</wp:posOffset>
            </wp:positionH>
            <wp:positionV relativeFrom="paragraph">
              <wp:posOffset>92075</wp:posOffset>
            </wp:positionV>
            <wp:extent cx="899160" cy="899160"/>
            <wp:effectExtent l="0" t="0" r="0" b="0"/>
            <wp:wrapSquare wrapText="bothSides"/>
            <wp:docPr id="2" name="Рисунок 2" descr="C:\Users\DELL\Desktop\Рисунок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esktop\Рисунок2.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549DF">
        <w:rPr>
          <w:rFonts w:ascii="Arial" w:eastAsia="Times New Roman" w:hAnsi="Arial" w:cs="Arial"/>
          <w:b/>
          <w:bCs/>
          <w:noProof/>
          <w:color w:val="002060"/>
          <w:kern w:val="28"/>
          <w:sz w:val="28"/>
          <w:szCs w:val="28"/>
          <w:lang w:eastAsia="ru-RU"/>
        </w:rPr>
        <mc:AlternateContent>
          <mc:Choice Requires="wps">
            <w:drawing>
              <wp:anchor distT="0" distB="0" distL="114300" distR="114300" simplePos="0" relativeHeight="251660288" behindDoc="0" locked="0" layoutInCell="1" allowOverlap="1" wp14:anchorId="590A2477" wp14:editId="7525E0F7">
                <wp:simplePos x="0" y="0"/>
                <wp:positionH relativeFrom="column">
                  <wp:posOffset>2512695</wp:posOffset>
                </wp:positionH>
                <wp:positionV relativeFrom="paragraph">
                  <wp:posOffset>61595</wp:posOffset>
                </wp:positionV>
                <wp:extent cx="3360420" cy="579120"/>
                <wp:effectExtent l="0" t="0" r="0" b="0"/>
                <wp:wrapNone/>
                <wp:docPr id="5" name="Подзаголовок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60420" cy="579120"/>
                        </a:xfrm>
                        <a:prstGeom prst="rect">
                          <a:avLst/>
                        </a:prstGeom>
                      </wps:spPr>
                      <wps:txbx>
                        <w:txbxContent>
                          <w:p w:rsidR="00596F86" w:rsidRPr="00235015" w:rsidRDefault="00596F86" w:rsidP="00596F86">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596F86" w:rsidRPr="00235015" w:rsidRDefault="00596F86" w:rsidP="00596F86">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wps:txbx>
                      <wps:bodyPr vert="horz" wrap="square" lIns="91440" tIns="45720" rIns="91440" bIns="45720" rtlCol="0">
                        <a:noAutofit/>
                      </wps:bodyPr>
                    </wps:wsp>
                  </a:graphicData>
                </a:graphic>
                <wp14:sizeRelH relativeFrom="margin">
                  <wp14:pctWidth>0</wp14:pctWidth>
                </wp14:sizeRelH>
                <wp14:sizeRelV relativeFrom="margin">
                  <wp14:pctHeight>0</wp14:pctHeight>
                </wp14:sizeRelV>
              </wp:anchor>
            </w:drawing>
          </mc:Choice>
          <mc:Fallback>
            <w:pict>
              <v:shapetype w14:anchorId="590A2477" id="_x0000_t202" coordsize="21600,21600" o:spt="202" path="m,l,21600r21600,l21600,xe">
                <v:stroke joinstyle="miter"/>
                <v:path gradientshapeok="t" o:connecttype="rect"/>
              </v:shapetype>
              <v:shape id="Подзаголовок 2" o:spid="_x0000_s1026" type="#_x0000_t202" style="position:absolute;left:0;text-align:left;margin-left:197.85pt;margin-top:4.85pt;width:264.6pt;height:4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9V5B0gEAAGwDAAAOAAAAZHJzL2Uyb0RvYy54bWysU1GO0zAQ/UfiDpb/adJuu8tGTVfACoS0&#10;AqSFA7iO3UTEHuNxm5TLcAUESEggcYYcibEbugX+EB92bM/Mm/dmJsur3rRspzw2YEs+neScKSuh&#10;auym5G9eP33wkDMMwlaiBatKvlfIr1b37y07V6gZ1NBWyjMCsVh0ruR1CK7IMpS1MgIn4JQlowZv&#10;RKCr32SVFx2hmzab5fl51oGvnAepEOn1+mDkq4SvtZLhpdaoAmtLTtxC2n3a13HPVktRbLxwdSNH&#10;GuIfWBjRWEp6hLoWQbCtb/6CMo30gKDDRILJQOtGqqSB1EzzP9Tc1sKppIWKg+5YJvx/sPLF7pVn&#10;TVXyBWdWGGrR8GH4MXwZvg4fh890+k7rE61vbBar1TksKOjWUVjoH0NPXU/K0d2AfIvkkp34HAKQ&#10;vGN1eu1N/JJuRoHUkP2xCaoPTNLj2dl5Pp+RSZJtcXE5pXMEvYt2HsMzBYbFQ8k9NTkxELsbDAfX&#10;Xy4jmUP+SCv0635UsYZqTyJoeAmkBv+es44GoeT4biu84qx9bqnSl9P5PE5OuswXF5GaP7Wsf7OE&#10;9gmkWYs6LTzaBtBNYhXTH3KOrKilSdc4fnFmTu/J6+4nWf0EAAD//wMAUEsDBBQABgAIAAAAIQD9&#10;alcz3QAAAAkBAAAPAAAAZHJzL2Rvd25yZXYueG1sTI/dSsQwEEbvBd8hjOCdm7j+pjZdRFgU8ca6&#10;D5BtYlPaTEqTtNWnd7zSq2H4Dt+cKXerH9hsp9gFVHC5EcAsNsF02Co4fOwv7oHFpNHoIaBV8GUj&#10;7KrTk1IXJiz4buc6tYxKMBZagUtpLDiPjbNex00YLVL2GSavE61Ty82kFyr3A98Kccu97pAuOD3a&#10;J2ebvs5ewT4/v/j5m+fxtW4WdGOfD2+9Uudn6+MDsGTX9AfDrz6pQ0VOx5DRRDYouJI3d4QqkDQo&#10;l9trCexIoBASeFXy/x9UPwAAAP//AwBQSwECLQAUAAYACAAAACEAtoM4kv4AAADhAQAAEwAAAAAA&#10;AAAAAAAAAAAAAAAAW0NvbnRlbnRfVHlwZXNdLnhtbFBLAQItABQABgAIAAAAIQA4/SH/1gAAAJQB&#10;AAALAAAAAAAAAAAAAAAAAC8BAABfcmVscy8ucmVsc1BLAQItABQABgAIAAAAIQC99V5B0gEAAGwD&#10;AAAOAAAAAAAAAAAAAAAAAC4CAABkcnMvZTJvRG9jLnhtbFBLAQItABQABgAIAAAAIQD9alcz3QAA&#10;AAkBAAAPAAAAAAAAAAAAAAAAACwEAABkcnMvZG93bnJldi54bWxQSwUGAAAAAAQABADzAAAANgUA&#10;AAAA&#10;" filled="f" stroked="f">
                <v:path arrowok="t"/>
                <v:textbox>
                  <w:txbxContent>
                    <w:p w:rsidR="00596F86" w:rsidRPr="00235015" w:rsidRDefault="00596F86" w:rsidP="00596F86">
                      <w:pPr>
                        <w:spacing w:after="0" w:line="264" w:lineRule="auto"/>
                        <w:rPr>
                          <w:sz w:val="20"/>
                        </w:rPr>
                      </w:pPr>
                      <w:r w:rsidRPr="00235015">
                        <w:rPr>
                          <w:rFonts w:ascii="Arial" w:hAnsi="Arial" w:cs="Arial"/>
                          <w:b/>
                          <w:bCs/>
                          <w:i/>
                          <w:iCs/>
                          <w:color w:val="002060"/>
                          <w:kern w:val="28"/>
                          <w:sz w:val="28"/>
                          <w:szCs w:val="36"/>
                          <w:lang w:val="uz-Cyrl-UZ"/>
                        </w:rPr>
                        <w:t xml:space="preserve">Маърузачи: </w:t>
                      </w:r>
                      <w:r w:rsidRPr="00235015">
                        <w:rPr>
                          <w:rFonts w:ascii="Arial" w:hAnsi="Arial" w:cs="Arial"/>
                          <w:b/>
                          <w:bCs/>
                          <w:color w:val="FF0000"/>
                          <w:kern w:val="28"/>
                          <w:sz w:val="28"/>
                          <w:szCs w:val="36"/>
                          <w:lang w:val="uz-Cyrl-UZ"/>
                        </w:rPr>
                        <w:t xml:space="preserve">Арипова Зулфияхон </w:t>
                      </w:r>
                    </w:p>
                    <w:p w:rsidR="00596F86" w:rsidRPr="00235015" w:rsidRDefault="00596F86" w:rsidP="00596F86">
                      <w:pPr>
                        <w:spacing w:after="0" w:line="264" w:lineRule="auto"/>
                        <w:rPr>
                          <w:sz w:val="20"/>
                        </w:rPr>
                      </w:pPr>
                      <w:r w:rsidRPr="00235015">
                        <w:rPr>
                          <w:rFonts w:ascii="Arial" w:hAnsi="Arial" w:cs="Arial"/>
                          <w:b/>
                          <w:bCs/>
                          <w:i/>
                          <w:iCs/>
                          <w:color w:val="002060"/>
                          <w:kern w:val="28"/>
                          <w:sz w:val="28"/>
                          <w:szCs w:val="36"/>
                          <w:lang w:val="uz-Cyrl-UZ"/>
                        </w:rPr>
                        <w:t>Фалсафа фанлар номзоди доцент</w:t>
                      </w:r>
                    </w:p>
                  </w:txbxContent>
                </v:textbox>
              </v:shape>
            </w:pict>
          </mc:Fallback>
        </mc:AlternateContent>
      </w:r>
    </w:p>
    <w:p w:rsidR="00596F86" w:rsidRPr="00F549DF" w:rsidRDefault="00596F86" w:rsidP="00596F86">
      <w:pPr>
        <w:spacing w:after="0" w:line="276" w:lineRule="auto"/>
        <w:contextualSpacing/>
        <w:jc w:val="center"/>
        <w:rPr>
          <w:rFonts w:ascii="Arial" w:eastAsia="Times New Roman" w:hAnsi="Arial" w:cs="Arial"/>
          <w:b/>
          <w:bCs/>
          <w:color w:val="002060"/>
          <w:kern w:val="28"/>
          <w:sz w:val="28"/>
          <w:szCs w:val="28"/>
          <w:lang w:val="uz-Cyrl-UZ"/>
        </w:rPr>
      </w:pPr>
    </w:p>
    <w:p w:rsidR="00596F86" w:rsidRPr="00F549DF" w:rsidRDefault="00596F86" w:rsidP="00596F86">
      <w:pPr>
        <w:spacing w:after="0" w:line="276" w:lineRule="auto"/>
        <w:contextualSpacing/>
        <w:jc w:val="center"/>
        <w:rPr>
          <w:rFonts w:ascii="Arial" w:eastAsia="Times New Roman" w:hAnsi="Arial" w:cs="Arial"/>
          <w:b/>
          <w:bCs/>
          <w:color w:val="002060"/>
          <w:kern w:val="28"/>
          <w:sz w:val="28"/>
          <w:szCs w:val="28"/>
          <w:lang w:val="uz-Cyrl-UZ"/>
        </w:rPr>
      </w:pPr>
    </w:p>
    <w:p w:rsidR="00596F86" w:rsidRPr="00F549DF" w:rsidRDefault="00596F86" w:rsidP="00596F86">
      <w:pPr>
        <w:spacing w:after="0" w:line="276" w:lineRule="auto"/>
        <w:contextualSpacing/>
        <w:jc w:val="center"/>
        <w:rPr>
          <w:rFonts w:ascii="Arial" w:eastAsia="Times New Roman" w:hAnsi="Arial" w:cs="Arial"/>
          <w:b/>
          <w:bCs/>
          <w:color w:val="002060"/>
          <w:kern w:val="28"/>
          <w:sz w:val="28"/>
          <w:szCs w:val="28"/>
          <w:lang w:val="uz-Cyrl-UZ"/>
        </w:rPr>
      </w:pPr>
    </w:p>
    <w:p w:rsidR="00596F86" w:rsidRPr="00F549DF" w:rsidRDefault="00596F86" w:rsidP="00596F86">
      <w:pPr>
        <w:spacing w:after="0" w:line="276" w:lineRule="auto"/>
        <w:contextualSpacing/>
        <w:jc w:val="center"/>
        <w:rPr>
          <w:rFonts w:ascii="Arial" w:eastAsia="Times New Roman" w:hAnsi="Arial" w:cs="Arial"/>
          <w:b/>
          <w:bCs/>
          <w:color w:val="002060"/>
          <w:kern w:val="28"/>
          <w:sz w:val="28"/>
          <w:szCs w:val="28"/>
          <w:lang w:val="uz-Cyrl-UZ"/>
        </w:rPr>
      </w:pPr>
    </w:p>
    <w:p w:rsidR="00596F86" w:rsidRPr="00F549DF" w:rsidRDefault="00596F86" w:rsidP="00596F86">
      <w:pPr>
        <w:spacing w:after="0" w:line="276" w:lineRule="auto"/>
        <w:contextualSpacing/>
        <w:jc w:val="center"/>
        <w:rPr>
          <w:rFonts w:ascii="Arial" w:eastAsia="Times New Roman" w:hAnsi="Arial" w:cs="Arial"/>
          <w:b/>
          <w:bCs/>
          <w:color w:val="002060"/>
          <w:kern w:val="28"/>
          <w:sz w:val="28"/>
          <w:szCs w:val="28"/>
          <w:lang w:val="uz-Cyrl-UZ"/>
        </w:rPr>
      </w:pPr>
      <w:r w:rsidRPr="00596F86">
        <w:rPr>
          <w:rFonts w:ascii="Arial" w:eastAsia="Times New Roman" w:hAnsi="Arial" w:cs="Arial"/>
          <w:b/>
          <w:bCs/>
          <w:color w:val="002060"/>
          <w:kern w:val="28"/>
          <w:sz w:val="28"/>
          <w:szCs w:val="28"/>
          <w:lang w:val="uz-Cyrl-UZ"/>
        </w:rPr>
        <w:t>Lecture 7_Mechanisms of action of scientific research.</w:t>
      </w:r>
    </w:p>
    <w:p w:rsidR="00596F86" w:rsidRPr="00596F86" w:rsidRDefault="00596F86" w:rsidP="00223608">
      <w:pPr>
        <w:tabs>
          <w:tab w:val="left" w:pos="0"/>
        </w:tabs>
        <w:spacing w:after="0" w:line="240" w:lineRule="auto"/>
        <w:ind w:firstLine="180"/>
        <w:jc w:val="center"/>
        <w:rPr>
          <w:rFonts w:ascii="Times New Roman" w:eastAsia="Times New Roman" w:hAnsi="Times New Roman" w:cs="Times New Roman"/>
          <w:b/>
          <w:bCs/>
          <w:color w:val="0070C0"/>
          <w:sz w:val="28"/>
          <w:szCs w:val="28"/>
          <w:lang w:val="uz-Cyrl-UZ" w:eastAsia="ru-RU"/>
        </w:rPr>
      </w:pPr>
    </w:p>
    <w:p w:rsidR="00223608" w:rsidRPr="00596F86" w:rsidRDefault="00596F86" w:rsidP="00223608">
      <w:pPr>
        <w:tabs>
          <w:tab w:val="left" w:pos="0"/>
        </w:tabs>
        <w:spacing w:after="0" w:line="240" w:lineRule="auto"/>
        <w:ind w:firstLine="180"/>
        <w:jc w:val="center"/>
        <w:rPr>
          <w:rFonts w:ascii="Arial" w:eastAsia="Times New Roman" w:hAnsi="Arial" w:cs="Arial"/>
          <w:b/>
          <w:bCs/>
          <w:color w:val="002060"/>
          <w:kern w:val="28"/>
          <w:sz w:val="28"/>
          <w:szCs w:val="28"/>
          <w:lang w:val="uz-Cyrl-UZ"/>
        </w:rPr>
      </w:pPr>
      <w:r w:rsidRPr="00596F86">
        <w:rPr>
          <w:rFonts w:ascii="Arial" w:eastAsia="Times New Roman" w:hAnsi="Arial" w:cs="Arial"/>
          <w:b/>
          <w:bCs/>
          <w:color w:val="002060"/>
          <w:kern w:val="28"/>
          <w:sz w:val="28"/>
          <w:szCs w:val="28"/>
          <w:lang w:val="uz-Cyrl-UZ"/>
        </w:rPr>
        <w:t>7</w:t>
      </w:r>
      <w:r w:rsidR="00223608" w:rsidRPr="00596F86">
        <w:rPr>
          <w:rFonts w:ascii="Arial" w:eastAsia="Times New Roman" w:hAnsi="Arial" w:cs="Arial"/>
          <w:b/>
          <w:bCs/>
          <w:color w:val="002060"/>
          <w:kern w:val="28"/>
          <w:sz w:val="28"/>
          <w:szCs w:val="28"/>
          <w:lang w:val="uz-Cyrl-UZ"/>
        </w:rPr>
        <w:t>-</w:t>
      </w:r>
      <w:r>
        <w:rPr>
          <w:rFonts w:ascii="Arial" w:eastAsia="Times New Roman" w:hAnsi="Arial" w:cs="Arial"/>
          <w:b/>
          <w:bCs/>
          <w:color w:val="002060"/>
          <w:kern w:val="28"/>
          <w:sz w:val="28"/>
          <w:szCs w:val="28"/>
          <w:lang w:val="uz-Cyrl-UZ"/>
        </w:rPr>
        <w:t>М</w:t>
      </w:r>
      <w:r w:rsidRPr="00596F86">
        <w:rPr>
          <w:rFonts w:ascii="Arial" w:eastAsia="Times New Roman" w:hAnsi="Arial" w:cs="Arial"/>
          <w:b/>
          <w:bCs/>
          <w:color w:val="002060"/>
          <w:kern w:val="28"/>
          <w:sz w:val="28"/>
          <w:szCs w:val="28"/>
          <w:lang w:val="uz-Cyrl-UZ"/>
        </w:rPr>
        <w:t>авзу.</w:t>
      </w:r>
      <w:r w:rsidR="00223608" w:rsidRPr="00596F86">
        <w:rPr>
          <w:rFonts w:ascii="Arial" w:eastAsia="Times New Roman" w:hAnsi="Arial" w:cs="Arial"/>
          <w:b/>
          <w:bCs/>
          <w:color w:val="002060"/>
          <w:kern w:val="28"/>
          <w:sz w:val="28"/>
          <w:szCs w:val="28"/>
          <w:lang w:val="uz-Cyrl-UZ"/>
        </w:rPr>
        <w:t xml:space="preserve"> </w:t>
      </w:r>
      <w:r w:rsidRPr="00596F86">
        <w:rPr>
          <w:rFonts w:ascii="Arial" w:eastAsia="Times New Roman" w:hAnsi="Arial" w:cs="Arial"/>
          <w:b/>
          <w:bCs/>
          <w:color w:val="002060"/>
          <w:kern w:val="28"/>
          <w:sz w:val="28"/>
          <w:szCs w:val="28"/>
          <w:lang w:val="uz-Cyrl-UZ"/>
        </w:rPr>
        <w:t>Илмий тадқиқотнинг амал қилиш механизмлари</w:t>
      </w:r>
      <w:r w:rsidR="00223608" w:rsidRPr="00596F86">
        <w:rPr>
          <w:rFonts w:ascii="Arial" w:eastAsia="Times New Roman" w:hAnsi="Arial" w:cs="Arial"/>
          <w:b/>
          <w:bCs/>
          <w:color w:val="002060"/>
          <w:kern w:val="28"/>
          <w:sz w:val="28"/>
          <w:szCs w:val="28"/>
          <w:lang w:val="uz-Cyrl-UZ"/>
        </w:rPr>
        <w:t>.</w:t>
      </w:r>
    </w:p>
    <w:p w:rsidR="00596F86" w:rsidRPr="00F549DF" w:rsidRDefault="00596F86" w:rsidP="00596F86">
      <w:pPr>
        <w:spacing w:after="0" w:line="276" w:lineRule="auto"/>
        <w:jc w:val="center"/>
        <w:rPr>
          <w:rFonts w:ascii="Arial" w:eastAsia="Times New Roman" w:hAnsi="Arial" w:cs="Arial"/>
          <w:b/>
          <w:bCs/>
          <w:color w:val="002060"/>
          <w:kern w:val="28"/>
          <w:sz w:val="28"/>
          <w:szCs w:val="28"/>
          <w:lang w:val="uz-Cyrl-UZ" w:eastAsia="ru-RU"/>
        </w:rPr>
      </w:pPr>
      <w:r w:rsidRPr="00F549DF">
        <w:rPr>
          <w:rFonts w:ascii="Arial" w:eastAsia="Times New Roman" w:hAnsi="Arial" w:cs="Arial"/>
          <w:b/>
          <w:bCs/>
          <w:color w:val="002060"/>
          <w:kern w:val="28"/>
          <w:sz w:val="28"/>
          <w:szCs w:val="28"/>
          <w:lang w:val="uz-Cyrl-UZ" w:eastAsia="ru-RU"/>
        </w:rPr>
        <w:t>Режа:</w:t>
      </w:r>
    </w:p>
    <w:p w:rsidR="00596F86" w:rsidRPr="00F549DF" w:rsidRDefault="00596F86" w:rsidP="00596F86">
      <w:pPr>
        <w:numPr>
          <w:ilvl w:val="0"/>
          <w:numId w:val="1"/>
        </w:numPr>
        <w:tabs>
          <w:tab w:val="left" w:pos="426"/>
        </w:tabs>
        <w:spacing w:after="0" w:line="276" w:lineRule="auto"/>
        <w:ind w:left="0" w:firstLine="0"/>
        <w:contextualSpacing/>
        <w:rPr>
          <w:rFonts w:ascii="Arial" w:eastAsia="Times New Roman" w:hAnsi="Arial" w:cs="Arial"/>
          <w:bCs/>
          <w:kern w:val="28"/>
          <w:sz w:val="28"/>
          <w:szCs w:val="28"/>
          <w:lang w:val="uz-Cyrl-UZ"/>
        </w:rPr>
      </w:pPr>
      <w:r>
        <w:rPr>
          <w:rFonts w:ascii="Arial" w:eastAsia="Times New Roman" w:hAnsi="Arial" w:cs="Arial"/>
          <w:bCs/>
          <w:kern w:val="28"/>
          <w:sz w:val="28"/>
          <w:szCs w:val="28"/>
          <w:lang w:val="uz-Cyrl-UZ"/>
        </w:rPr>
        <w:t>Гипотезанинг илмий тадқиқотдаги ўрни</w:t>
      </w:r>
      <w:r w:rsidRPr="00F549DF">
        <w:rPr>
          <w:rFonts w:ascii="Arial" w:eastAsia="Times New Roman" w:hAnsi="Arial" w:cs="Arial"/>
          <w:bCs/>
          <w:kern w:val="28"/>
          <w:sz w:val="28"/>
          <w:szCs w:val="28"/>
          <w:lang w:val="uz-Cyrl-UZ"/>
        </w:rPr>
        <w:t>.</w:t>
      </w:r>
    </w:p>
    <w:p w:rsidR="00596F86" w:rsidRPr="00F549DF" w:rsidRDefault="00596F86" w:rsidP="00596F86">
      <w:pPr>
        <w:numPr>
          <w:ilvl w:val="0"/>
          <w:numId w:val="1"/>
        </w:numPr>
        <w:tabs>
          <w:tab w:val="left" w:pos="426"/>
        </w:tabs>
        <w:spacing w:after="0" w:line="276" w:lineRule="auto"/>
        <w:ind w:left="0" w:firstLine="0"/>
        <w:contextualSpacing/>
        <w:rPr>
          <w:rFonts w:ascii="Arial" w:eastAsia="Times New Roman" w:hAnsi="Arial" w:cs="Arial"/>
          <w:bCs/>
          <w:kern w:val="28"/>
          <w:sz w:val="28"/>
          <w:szCs w:val="28"/>
          <w:lang w:val="uz-Cyrl-UZ"/>
        </w:rPr>
      </w:pPr>
      <w:r>
        <w:rPr>
          <w:rFonts w:ascii="Arial" w:eastAsia="Times New Roman" w:hAnsi="Arial" w:cs="Arial"/>
          <w:bCs/>
          <w:kern w:val="28"/>
          <w:sz w:val="28"/>
          <w:szCs w:val="28"/>
          <w:lang w:val="uz-Cyrl-UZ"/>
        </w:rPr>
        <w:t>Назариянинг амалиёт билан уйғунлиги</w:t>
      </w:r>
      <w:r w:rsidRPr="00F549DF">
        <w:rPr>
          <w:rFonts w:ascii="Arial" w:eastAsia="Times New Roman" w:hAnsi="Arial" w:cs="Arial"/>
          <w:bCs/>
          <w:kern w:val="28"/>
          <w:sz w:val="28"/>
          <w:szCs w:val="28"/>
          <w:lang w:val="uz-Cyrl-UZ"/>
        </w:rPr>
        <w:t>.</w:t>
      </w:r>
    </w:p>
    <w:p w:rsidR="00596F86" w:rsidRDefault="00596F86" w:rsidP="00596F86">
      <w:pPr>
        <w:numPr>
          <w:ilvl w:val="0"/>
          <w:numId w:val="1"/>
        </w:numPr>
        <w:tabs>
          <w:tab w:val="left" w:pos="426"/>
        </w:tabs>
        <w:spacing w:after="0" w:line="276" w:lineRule="auto"/>
        <w:ind w:left="0" w:firstLine="0"/>
        <w:contextualSpacing/>
        <w:rPr>
          <w:rFonts w:ascii="Arial" w:eastAsia="Times New Roman" w:hAnsi="Arial" w:cs="Arial"/>
          <w:bCs/>
          <w:kern w:val="28"/>
          <w:sz w:val="28"/>
          <w:szCs w:val="28"/>
          <w:lang w:val="uz-Cyrl-UZ"/>
        </w:rPr>
      </w:pPr>
      <w:r>
        <w:rPr>
          <w:rFonts w:ascii="Arial" w:eastAsia="Times New Roman" w:hAnsi="Arial" w:cs="Arial"/>
          <w:bCs/>
          <w:kern w:val="28"/>
          <w:sz w:val="28"/>
          <w:szCs w:val="28"/>
          <w:lang w:val="uz-Cyrl-UZ"/>
        </w:rPr>
        <w:t>Қонун ва унинг ўзига хос хусусиятлари</w:t>
      </w:r>
    </w:p>
    <w:p w:rsidR="00596F86" w:rsidRDefault="00596F86" w:rsidP="00596F86">
      <w:pPr>
        <w:numPr>
          <w:ilvl w:val="0"/>
          <w:numId w:val="1"/>
        </w:numPr>
        <w:tabs>
          <w:tab w:val="left" w:pos="426"/>
        </w:tabs>
        <w:spacing w:after="0" w:line="276" w:lineRule="auto"/>
        <w:ind w:left="0" w:firstLine="0"/>
        <w:contextualSpacing/>
        <w:rPr>
          <w:rFonts w:ascii="Arial" w:eastAsia="Times New Roman" w:hAnsi="Arial" w:cs="Arial"/>
          <w:bCs/>
          <w:kern w:val="28"/>
          <w:sz w:val="28"/>
          <w:szCs w:val="28"/>
          <w:lang w:val="uz-Cyrl-UZ"/>
        </w:rPr>
      </w:pPr>
      <w:r>
        <w:rPr>
          <w:rFonts w:ascii="Arial" w:eastAsia="Times New Roman" w:hAnsi="Arial" w:cs="Arial"/>
          <w:bCs/>
          <w:kern w:val="28"/>
          <w:sz w:val="28"/>
          <w:szCs w:val="28"/>
          <w:lang w:val="uz-Cyrl-UZ"/>
        </w:rPr>
        <w:t>Парадигма – илмий муаммоларни ҳал этиш механизми</w:t>
      </w:r>
    </w:p>
    <w:p w:rsidR="00596F86" w:rsidRPr="00F549DF" w:rsidRDefault="00596F86" w:rsidP="00596F86">
      <w:pPr>
        <w:numPr>
          <w:ilvl w:val="0"/>
          <w:numId w:val="1"/>
        </w:numPr>
        <w:tabs>
          <w:tab w:val="left" w:pos="426"/>
        </w:tabs>
        <w:spacing w:after="0" w:line="276" w:lineRule="auto"/>
        <w:ind w:left="0" w:firstLine="0"/>
        <w:contextualSpacing/>
        <w:rPr>
          <w:rFonts w:ascii="Arial" w:eastAsia="Times New Roman" w:hAnsi="Arial" w:cs="Arial"/>
          <w:bCs/>
          <w:kern w:val="28"/>
          <w:sz w:val="28"/>
          <w:szCs w:val="28"/>
          <w:lang w:val="uz-Cyrl-UZ"/>
        </w:rPr>
      </w:pPr>
      <w:r>
        <w:rPr>
          <w:rFonts w:ascii="Arial" w:eastAsia="Times New Roman" w:hAnsi="Arial" w:cs="Arial"/>
          <w:bCs/>
          <w:kern w:val="28"/>
          <w:sz w:val="28"/>
          <w:szCs w:val="28"/>
          <w:lang w:val="uz-Cyrl-UZ"/>
        </w:rPr>
        <w:t>Тизимлилик ва интуиция тушунчаси</w:t>
      </w:r>
      <w:r w:rsidRPr="00F549DF">
        <w:rPr>
          <w:rFonts w:ascii="Arial" w:eastAsia="Times New Roman" w:hAnsi="Arial" w:cs="Arial"/>
          <w:bCs/>
          <w:kern w:val="28"/>
          <w:sz w:val="28"/>
          <w:szCs w:val="28"/>
          <w:lang w:val="uz-Cyrl-UZ"/>
        </w:rPr>
        <w:t>.</w:t>
      </w:r>
    </w:p>
    <w:p w:rsidR="00223608" w:rsidRDefault="00223608" w:rsidP="00223608">
      <w:pPr>
        <w:tabs>
          <w:tab w:val="left" w:pos="0"/>
        </w:tabs>
        <w:spacing w:after="0" w:line="240" w:lineRule="auto"/>
        <w:ind w:firstLine="180"/>
        <w:jc w:val="both"/>
        <w:rPr>
          <w:rFonts w:ascii="Times New Roman" w:eastAsia="Times New Roman" w:hAnsi="Times New Roman" w:cs="Times New Roman"/>
          <w:b/>
          <w:sz w:val="28"/>
          <w:szCs w:val="28"/>
          <w:lang w:val="uz-Cyrl-UZ" w:eastAsia="ru-RU"/>
        </w:rPr>
      </w:pPr>
    </w:p>
    <w:p w:rsidR="00C574C4" w:rsidRPr="002638B2" w:rsidRDefault="00596F86" w:rsidP="008C07BF">
      <w:pPr>
        <w:tabs>
          <w:tab w:val="left" w:pos="0"/>
        </w:tabs>
        <w:spacing w:after="0" w:line="276" w:lineRule="auto"/>
        <w:ind w:firstLine="567"/>
        <w:jc w:val="both"/>
        <w:rPr>
          <w:rFonts w:ascii="Arial" w:eastAsia="Times New Roman" w:hAnsi="Arial" w:cs="Arial"/>
          <w:sz w:val="28"/>
          <w:szCs w:val="28"/>
          <w:lang w:val="uz-Cyrl-UZ" w:eastAsia="ru-RU"/>
        </w:rPr>
      </w:pPr>
      <w:r w:rsidRPr="002638B2">
        <w:rPr>
          <w:rFonts w:ascii="Arial" w:eastAsia="Times New Roman" w:hAnsi="Arial" w:cs="Arial"/>
          <w:b/>
          <w:sz w:val="28"/>
          <w:szCs w:val="28"/>
          <w:lang w:val="uz-Cyrl-UZ" w:eastAsia="ru-RU"/>
        </w:rPr>
        <w:t>Илмий</w:t>
      </w:r>
      <w:r w:rsidR="00C574C4" w:rsidRPr="002638B2">
        <w:rPr>
          <w:rFonts w:ascii="Arial" w:eastAsia="Times New Roman" w:hAnsi="Arial" w:cs="Arial"/>
          <w:b/>
          <w:sz w:val="28"/>
          <w:szCs w:val="28"/>
          <w:lang w:val="uz-Cyrl-UZ" w:eastAsia="ru-RU"/>
        </w:rPr>
        <w:t xml:space="preserve"> </w:t>
      </w:r>
      <w:r w:rsidRPr="002638B2">
        <w:rPr>
          <w:rFonts w:ascii="Arial" w:eastAsia="Times New Roman" w:hAnsi="Arial" w:cs="Arial"/>
          <w:b/>
          <w:sz w:val="28"/>
          <w:szCs w:val="28"/>
          <w:lang w:val="uz-Cyrl-UZ" w:eastAsia="ru-RU"/>
        </w:rPr>
        <w:t>тадқиқотнинг</w:t>
      </w:r>
      <w:r w:rsidR="00C574C4" w:rsidRPr="002638B2">
        <w:rPr>
          <w:rFonts w:ascii="Arial" w:eastAsia="Times New Roman" w:hAnsi="Arial" w:cs="Arial"/>
          <w:b/>
          <w:sz w:val="28"/>
          <w:szCs w:val="28"/>
          <w:lang w:val="uz-Cyrl-UZ" w:eastAsia="ru-RU"/>
        </w:rPr>
        <w:t xml:space="preserve"> </w:t>
      </w:r>
      <w:r w:rsidRPr="002638B2">
        <w:rPr>
          <w:rFonts w:ascii="Arial" w:eastAsia="Times New Roman" w:hAnsi="Arial" w:cs="Arial"/>
          <w:b/>
          <w:sz w:val="28"/>
          <w:szCs w:val="28"/>
          <w:lang w:val="uz-Cyrl-UZ" w:eastAsia="ru-RU"/>
        </w:rPr>
        <w:t>амал</w:t>
      </w:r>
      <w:r w:rsidR="00C574C4" w:rsidRPr="002638B2">
        <w:rPr>
          <w:rFonts w:ascii="Arial" w:eastAsia="Times New Roman" w:hAnsi="Arial" w:cs="Arial"/>
          <w:b/>
          <w:sz w:val="28"/>
          <w:szCs w:val="28"/>
          <w:lang w:val="uz-Cyrl-UZ" w:eastAsia="ru-RU"/>
        </w:rPr>
        <w:t xml:space="preserve"> </w:t>
      </w:r>
      <w:r w:rsidRPr="002638B2">
        <w:rPr>
          <w:rFonts w:ascii="Arial" w:eastAsia="Times New Roman" w:hAnsi="Arial" w:cs="Arial"/>
          <w:b/>
          <w:sz w:val="28"/>
          <w:szCs w:val="28"/>
          <w:lang w:val="uz-Cyrl-UZ" w:eastAsia="ru-RU"/>
        </w:rPr>
        <w:t>қилиш</w:t>
      </w:r>
      <w:r w:rsidR="00C574C4" w:rsidRPr="002638B2">
        <w:rPr>
          <w:rFonts w:ascii="Arial" w:eastAsia="Times New Roman" w:hAnsi="Arial" w:cs="Arial"/>
          <w:b/>
          <w:sz w:val="28"/>
          <w:szCs w:val="28"/>
          <w:lang w:val="uz-Cyrl-UZ" w:eastAsia="ru-RU"/>
        </w:rPr>
        <w:t xml:space="preserve"> </w:t>
      </w:r>
      <w:r w:rsidRPr="002638B2">
        <w:rPr>
          <w:rFonts w:ascii="Arial" w:eastAsia="Times New Roman" w:hAnsi="Arial" w:cs="Arial"/>
          <w:b/>
          <w:sz w:val="28"/>
          <w:szCs w:val="28"/>
          <w:lang w:val="uz-Cyrl-UZ" w:eastAsia="ru-RU"/>
        </w:rPr>
        <w:t>механизмлари</w:t>
      </w:r>
      <w:r w:rsidR="00C574C4" w:rsidRPr="002638B2">
        <w:rPr>
          <w:rFonts w:ascii="Arial" w:eastAsia="Times New Roman" w:hAnsi="Arial" w:cs="Arial"/>
          <w:b/>
          <w:sz w:val="28"/>
          <w:szCs w:val="28"/>
          <w:lang w:val="uz-Cyrl-UZ" w:eastAsia="ru-RU"/>
        </w:rPr>
        <w:t>:</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гипотеза</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назария</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қонун</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парадигма</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тизимлилик</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Гипотеза</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ва</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унинг</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тадқиқот</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жараёнидаги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роли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Гипотеза</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тушунчаси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Гипотезанинг</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турлари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Мулоҳаза</w:t>
      </w:r>
      <w:r w:rsidR="00C574C4" w:rsidRPr="002638B2">
        <w:rPr>
          <w:rFonts w:ascii="Arial" w:eastAsia="Times New Roman" w:hAnsi="Arial" w:cs="Arial"/>
          <w:sz w:val="28"/>
          <w:szCs w:val="28"/>
          <w:lang w:val="uz-Cyrl-UZ" w:eastAsia="ru-RU"/>
        </w:rPr>
        <w:t xml:space="preserve"> – </w:t>
      </w:r>
      <w:r w:rsidRPr="002638B2">
        <w:rPr>
          <w:rFonts w:ascii="Arial" w:eastAsia="Times New Roman" w:hAnsi="Arial" w:cs="Arial"/>
          <w:sz w:val="28"/>
          <w:szCs w:val="28"/>
          <w:lang w:val="uz-Cyrl-UZ" w:eastAsia="ru-RU"/>
        </w:rPr>
        <w:t>гипотезанинг</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бош</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ғояси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гипотезаларнинг</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турли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даражалари</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Гипотеза</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методининг</w:t>
      </w:r>
      <w:r w:rsidR="00C574C4"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uz-Cyrl-UZ" w:eastAsia="ru-RU"/>
        </w:rPr>
        <w:t>босқичлари</w:t>
      </w:r>
      <w:r w:rsidR="00C574C4" w:rsidRPr="002638B2">
        <w:rPr>
          <w:rFonts w:ascii="Arial" w:eastAsia="Times New Roman" w:hAnsi="Arial" w:cs="Arial"/>
          <w:sz w:val="28"/>
          <w:szCs w:val="28"/>
          <w:lang w:val="uz-Cyrl-UZ" w:eastAsia="ru-RU"/>
        </w:rPr>
        <w:t>.</w:t>
      </w:r>
    </w:p>
    <w:p w:rsidR="00223608" w:rsidRPr="008C07BF" w:rsidRDefault="00223608" w:rsidP="008C07BF">
      <w:pPr>
        <w:pStyle w:val="a6"/>
        <w:numPr>
          <w:ilvl w:val="0"/>
          <w:numId w:val="3"/>
        </w:numPr>
        <w:spacing w:after="0" w:line="276" w:lineRule="auto"/>
        <w:ind w:left="0" w:firstLine="426"/>
        <w:jc w:val="both"/>
        <w:rPr>
          <w:rFonts w:ascii="Arial" w:eastAsia="Times New Roman" w:hAnsi="Arial" w:cs="Arial"/>
          <w:color w:val="000000"/>
          <w:sz w:val="28"/>
          <w:szCs w:val="28"/>
          <w:lang w:val="uz-Cyrl-UZ" w:eastAsia="ru-RU"/>
        </w:rPr>
      </w:pPr>
      <w:r w:rsidRPr="008C07BF">
        <w:rPr>
          <w:rFonts w:ascii="Arial" w:eastAsia="Times New Roman" w:hAnsi="Arial" w:cs="Arial"/>
          <w:b/>
          <w:i/>
          <w:color w:val="000000"/>
          <w:sz w:val="28"/>
          <w:szCs w:val="28"/>
          <w:lang w:val="uz-Cyrl-UZ" w:eastAsia="ru-RU"/>
        </w:rPr>
        <w:t>Гипотеза.</w:t>
      </w:r>
      <w:r w:rsidRPr="008C07BF">
        <w:rPr>
          <w:rFonts w:ascii="Arial" w:eastAsia="Times New Roman" w:hAnsi="Arial" w:cs="Arial"/>
          <w:i/>
          <w:color w:val="000000"/>
          <w:sz w:val="28"/>
          <w:szCs w:val="28"/>
          <w:lang w:val="uz-Cyrl-UZ" w:eastAsia="ru-RU"/>
        </w:rPr>
        <w:t xml:space="preserve"> Илмий тадқиқот ва ижодий фаолият инсон интеллектуал салоҳиятини юксалтирувчи омиллар бўлиб, булар орқали  инсоннинг  биладиган ҳақиқати ҳам билимдан иборат бўлади, ақл  эса илмдан қувват олади ва шунинг билан бирга илм ҳам эгалланади.</w:t>
      </w:r>
      <w:r w:rsidRPr="008C07BF">
        <w:rPr>
          <w:rFonts w:ascii="Arial" w:eastAsia="Times New Roman" w:hAnsi="Arial" w:cs="Arial"/>
          <w:color w:val="000000"/>
          <w:sz w:val="28"/>
          <w:szCs w:val="28"/>
          <w:lang w:val="uz-Cyrl-UZ" w:eastAsia="ru-RU"/>
        </w:rPr>
        <w:t xml:space="preserve"> Бу жараёнда гипотезанинг ўрни беқиёс ҳисобланади. Айни шу маънода, С.Ю.Сауров</w:t>
      </w:r>
      <w:r w:rsidRPr="008C07BF">
        <w:rPr>
          <w:rFonts w:ascii="Arial" w:eastAsia="Times New Roman" w:hAnsi="Arial" w:cs="Arial"/>
          <w:b/>
          <w:color w:val="000000"/>
          <w:sz w:val="28"/>
          <w:szCs w:val="28"/>
          <w:lang w:val="uz-Cyrl-UZ" w:eastAsia="ru-RU"/>
        </w:rPr>
        <w:t xml:space="preserve"> “</w:t>
      </w:r>
      <w:r w:rsidRPr="008C07BF">
        <w:rPr>
          <w:rFonts w:ascii="Arial" w:eastAsia="Times New Roman" w:hAnsi="Arial" w:cs="Arial"/>
          <w:color w:val="000000"/>
          <w:sz w:val="28"/>
          <w:szCs w:val="28"/>
          <w:lang w:val="uz-Cyrl-UZ" w:eastAsia="ru-RU"/>
        </w:rPr>
        <w:t>Гипотеза феномени назарияни яратишнинг дастлабки босқичидир”</w:t>
      </w:r>
      <w:r w:rsidRPr="002638B2">
        <w:rPr>
          <w:vertAlign w:val="superscript"/>
          <w:lang w:val="uz-Cyrl-UZ" w:eastAsia="ru-RU"/>
        </w:rPr>
        <w:footnoteReference w:id="1"/>
      </w:r>
      <w:r w:rsidRPr="008C07BF">
        <w:rPr>
          <w:rFonts w:ascii="Arial" w:eastAsia="Times New Roman" w:hAnsi="Arial" w:cs="Arial"/>
          <w:color w:val="000000"/>
          <w:sz w:val="28"/>
          <w:szCs w:val="28"/>
          <w:lang w:val="uz-Cyrl-UZ" w:eastAsia="ru-RU"/>
        </w:rPr>
        <w:t>,  деб ёзади. Мазкур фикрда гипотезанинг динамик хусусияти ёритиб берилган бўлса-да, унинг эҳтимолий асосларга таяниши очиб берилмаган. Зеро, илмий-ижодий фаолиятда гипотеза орқали тадқиқ этилаётган муайян ҳодисанинг эҳтимол тутилган янги асослари ва сабаблари ҳақидаги фаразлар, тахминлар, фикрлар муҳим ўринни эгаллайди.</w:t>
      </w:r>
    </w:p>
    <w:p w:rsidR="00223608" w:rsidRPr="002638B2" w:rsidRDefault="00223608" w:rsidP="008C07BF">
      <w:pPr>
        <w:spacing w:after="0" w:line="276" w:lineRule="auto"/>
        <w:ind w:firstLine="567"/>
        <w:jc w:val="both"/>
        <w:rPr>
          <w:rFonts w:ascii="Arial" w:eastAsia="Times New Roman" w:hAnsi="Arial" w:cs="Arial"/>
          <w:color w:val="000000"/>
          <w:sz w:val="28"/>
          <w:szCs w:val="28"/>
          <w:lang w:val="uz-Cyrl-UZ" w:eastAsia="ru-RU"/>
        </w:rPr>
      </w:pPr>
      <w:bookmarkStart w:id="0" w:name="_GoBack"/>
      <w:bookmarkEnd w:id="0"/>
      <w:r w:rsidRPr="002638B2">
        <w:rPr>
          <w:rFonts w:ascii="Arial" w:eastAsia="Times New Roman" w:hAnsi="Arial" w:cs="Arial"/>
          <w:color w:val="000000"/>
          <w:sz w:val="28"/>
          <w:szCs w:val="28"/>
          <w:lang w:val="uz-Cyrl-UZ" w:eastAsia="ru-RU"/>
        </w:rPr>
        <w:t>Гипотеза</w:t>
      </w:r>
      <w:r w:rsidRPr="002638B2">
        <w:rPr>
          <w:rFonts w:ascii="Arial" w:eastAsia="Times New Roman" w:hAnsi="Arial" w:cs="Arial"/>
          <w:b/>
          <w:color w:val="000000"/>
          <w:sz w:val="28"/>
          <w:szCs w:val="28"/>
          <w:lang w:val="uz-Cyrl-UZ" w:eastAsia="ru-RU"/>
        </w:rPr>
        <w:t xml:space="preserve"> </w:t>
      </w:r>
      <w:r w:rsidRPr="002638B2">
        <w:rPr>
          <w:rFonts w:ascii="Arial" w:eastAsia="Times New Roman" w:hAnsi="Arial" w:cs="Arial"/>
          <w:color w:val="000000"/>
          <w:sz w:val="28"/>
          <w:szCs w:val="28"/>
          <w:lang w:val="uz-Cyrl-UZ" w:eastAsia="ru-RU"/>
        </w:rPr>
        <w:t xml:space="preserve">деганда янги илмий изланиш жараёнида далилларнинг моҳиятини тушунтирувчи қонун мавжудлиги ҳақидаги асосли тахмин кўзда тутилади. Гипотеза одатда олимлар томонидан илмий муаммонинг қўйилишига сабаб бўлган илмий далилларни тахминий тушунтириш мақсадида ҳам ишлаб чиқилади. Бунда гипотеза назарий </w:t>
      </w:r>
      <w:r w:rsidRPr="002638B2">
        <w:rPr>
          <w:rFonts w:ascii="Arial" w:eastAsia="Times New Roman" w:hAnsi="Arial" w:cs="Arial"/>
          <w:color w:val="000000"/>
          <w:sz w:val="28"/>
          <w:szCs w:val="28"/>
          <w:lang w:val="uz-Cyrl-UZ" w:eastAsia="ru-RU"/>
        </w:rPr>
        <w:lastRenderedPageBreak/>
        <w:t>ва эмпирик талабларга жавоб бериши талаб этилади. Агар бундай текширишнинг иложи бўлмаса, гипотеза илмий жиҳатдан асоссиз, деб топилади. И.Саифназаров, Г.Никитченко, Б.Қосимовларнинг  таъкидлашича, “Илмий ижод жараёнида гипотезаларнинг тўғрилиги, зиддиятсизлиги бир неча карра синовдан ўтказилади. Текширувларнинг ижобий натижаси гипотезанинг тўғрилигини тасдиқлайди ёки гипотеза ҳаққоний илмий назарияга айланганини кўрсатади. Бу илмий ижоднинг тантанаси, чинакам илмий кашфиётдир. Илмий ижодда теран, мазмунли гипотеза илмий билимнинг ўсиши, фанда прогноз ва башорат қилиш, илмий қонунни кашф этиш ва назария яратиш учун пишиқ пойдевор бўлиб хизмат қилади”</w:t>
      </w:r>
      <w:r w:rsidRPr="002638B2">
        <w:rPr>
          <w:rFonts w:ascii="Arial" w:eastAsia="Times New Roman" w:hAnsi="Arial" w:cs="Arial"/>
          <w:color w:val="000000"/>
          <w:sz w:val="28"/>
          <w:szCs w:val="28"/>
          <w:vertAlign w:val="superscript"/>
          <w:lang w:val="uz-Cyrl-UZ" w:eastAsia="ru-RU"/>
        </w:rPr>
        <w:footnoteReference w:id="2"/>
      </w:r>
      <w:r w:rsidRPr="002638B2">
        <w:rPr>
          <w:rFonts w:ascii="Arial" w:eastAsia="Times New Roman" w:hAnsi="Arial" w:cs="Arial"/>
          <w:color w:val="000000"/>
          <w:sz w:val="28"/>
          <w:szCs w:val="28"/>
          <w:lang w:val="uz-Cyrl-UZ" w:eastAsia="ru-RU"/>
        </w:rPr>
        <w:t>. Бу фикрдан маълум бўладики, гипотеза асосида инсон билимсизликдан билимга, номукаммал ва ноҳаққоний билимдан мукаммал ва ҳаққоний билимга, далилларни ўрганишдан объектив мавжудликнинг ички мантиғини билишга, илмий назарияни шакллантиришга, бир назариядан билимнинг юқори даражасидаги бошқа назарияга ўтиш имкониятига эга бўлади. Лейбниц: “Агар гипотеза қуйидаги уч шартни қаноатлантирса, у асосли бўлади: биринчидан – у содда бўлса; иккинчидан – кўп сонли ҳодисаларни тушунтирса; учинчидан – янги ҳодисаларни башорат қилишга ёрдам берса”</w:t>
      </w:r>
      <w:r w:rsidRPr="002638B2">
        <w:rPr>
          <w:rFonts w:ascii="Arial" w:eastAsia="Times New Roman" w:hAnsi="Arial" w:cs="Arial"/>
          <w:color w:val="000000"/>
          <w:sz w:val="28"/>
          <w:szCs w:val="28"/>
          <w:vertAlign w:val="superscript"/>
          <w:lang w:val="uz-Cyrl-UZ" w:eastAsia="ru-RU"/>
        </w:rPr>
        <w:footnoteReference w:id="3"/>
      </w:r>
      <w:r w:rsidRPr="002638B2">
        <w:rPr>
          <w:rFonts w:ascii="Arial" w:eastAsia="Times New Roman" w:hAnsi="Arial" w:cs="Arial"/>
          <w:color w:val="000000"/>
          <w:sz w:val="28"/>
          <w:szCs w:val="28"/>
          <w:lang w:val="uz-Cyrl-UZ" w:eastAsia="ru-RU"/>
        </w:rPr>
        <w:t>, - деб таъкидлайди. Мазкур учта шартнинг охиргиси айнан илмий-ижодий фаолиятда намоён бўлувчи гипотезанинг мазмун-моҳиятини ифодалайди.</w:t>
      </w:r>
    </w:p>
    <w:p w:rsidR="00223608" w:rsidRPr="002638B2" w:rsidRDefault="008C07BF" w:rsidP="008C07BF">
      <w:pPr>
        <w:spacing w:after="0" w:line="276" w:lineRule="auto"/>
        <w:ind w:firstLine="426"/>
        <w:jc w:val="both"/>
        <w:rPr>
          <w:rFonts w:ascii="Arial" w:eastAsia="Times New Roman" w:hAnsi="Arial" w:cs="Arial"/>
          <w:color w:val="000000"/>
          <w:sz w:val="28"/>
          <w:szCs w:val="28"/>
          <w:lang w:val="uz-Cyrl-UZ" w:eastAsia="ru-RU"/>
        </w:rPr>
      </w:pPr>
      <w:r w:rsidRPr="008C07BF">
        <w:rPr>
          <w:rFonts w:ascii="Arial" w:eastAsia="Times New Roman" w:hAnsi="Arial" w:cs="Arial"/>
          <w:b/>
          <w:i/>
          <w:color w:val="000000"/>
          <w:sz w:val="28"/>
          <w:szCs w:val="28"/>
          <w:lang w:val="uz-Cyrl-UZ" w:eastAsia="ru-RU"/>
        </w:rPr>
        <w:t>2.</w:t>
      </w:r>
      <w:r w:rsidR="00223608" w:rsidRPr="002638B2">
        <w:rPr>
          <w:rFonts w:ascii="Arial" w:eastAsia="Times New Roman" w:hAnsi="Arial" w:cs="Arial"/>
          <w:i/>
          <w:color w:val="000000"/>
          <w:sz w:val="28"/>
          <w:szCs w:val="28"/>
          <w:lang w:val="uz-Cyrl-UZ" w:eastAsia="ru-RU"/>
        </w:rPr>
        <w:t xml:space="preserve"> </w:t>
      </w:r>
      <w:r w:rsidR="00223608" w:rsidRPr="002638B2">
        <w:rPr>
          <w:rFonts w:ascii="Arial" w:eastAsia="Times New Roman" w:hAnsi="Arial" w:cs="Arial"/>
          <w:b/>
          <w:i/>
          <w:color w:val="000000"/>
          <w:sz w:val="28"/>
          <w:szCs w:val="28"/>
          <w:lang w:val="uz-Cyrl-UZ" w:eastAsia="ru-RU"/>
        </w:rPr>
        <w:t xml:space="preserve">Назария </w:t>
      </w:r>
      <w:r w:rsidR="00223608" w:rsidRPr="002638B2">
        <w:rPr>
          <w:rFonts w:ascii="Arial" w:eastAsia="Times New Roman" w:hAnsi="Arial" w:cs="Arial"/>
          <w:b/>
          <w:color w:val="000000"/>
          <w:sz w:val="28"/>
          <w:szCs w:val="28"/>
          <w:lang w:val="uz-Cyrl-UZ" w:eastAsia="ru-RU"/>
        </w:rPr>
        <w:t xml:space="preserve">- </w:t>
      </w:r>
      <w:r w:rsidR="00223608" w:rsidRPr="002638B2">
        <w:rPr>
          <w:rFonts w:ascii="Arial" w:eastAsia="Times New Roman" w:hAnsi="Arial" w:cs="Arial"/>
          <w:i/>
          <w:color w:val="000000"/>
          <w:sz w:val="28"/>
          <w:szCs w:val="28"/>
          <w:lang w:val="uz-Cyrl-UZ" w:eastAsia="ru-RU"/>
        </w:rPr>
        <w:t>бу табиат ва жамият қонунларининг тушунишгагина эмас, балки унга фаол таъсир этиб ақлий асосда ўзгартиришлар киритиш ҳақидаги илмий ғоялар тўпламидир</w:t>
      </w:r>
      <w:r w:rsidR="00223608" w:rsidRPr="002638B2">
        <w:rPr>
          <w:rFonts w:ascii="Arial" w:eastAsia="Times New Roman" w:hAnsi="Arial" w:cs="Arial"/>
          <w:color w:val="000000"/>
          <w:sz w:val="28"/>
          <w:szCs w:val="28"/>
          <w:lang w:val="uz-Cyrl-UZ" w:eastAsia="ru-RU"/>
        </w:rPr>
        <w:t xml:space="preserve">. Илмий билишда назария ҳодисаларнинг муайян туркуми, бу туркумдаги ҳодисаларнинг моҳияти ва уларга нисбатан амал қиладиган борлиқ қонунлари ҳақидаги билимларнинг мантиқий асосланган ва амалиёт синовидан ўтган тизими сифатида ҳам талқин этилади. У ўрганилаётган ҳодисаларнинг мазмунини ёритувчи табиат ва жамият умумий қонунларининг кашф этилиши натижасида шаклланади. </w:t>
      </w:r>
      <w:r w:rsidR="00223608" w:rsidRPr="002638B2">
        <w:rPr>
          <w:rFonts w:ascii="Arial" w:eastAsia="Times New Roman" w:hAnsi="Arial" w:cs="Arial"/>
          <w:color w:val="000000"/>
          <w:sz w:val="28"/>
          <w:szCs w:val="28"/>
          <w:lang w:val="x-none" w:eastAsia="ru-RU"/>
        </w:rPr>
        <w:t xml:space="preserve">Назария таркибига унинг асослари сифатида мавжуд бўлган ва юзага келишини белгилаган барча элементлар киради. Дастлабки назарий негиз, яъни жамулжам ҳолда тадқиқот объекти ҳақида умумий тасаввурни, объектнинг идеал моделини ташкил этувчи кўп сонли тамойиллар, аксиомалар, қонунлар назариянинг ажралмас таркибий қисми ҳисобланади. Назарий модель </w:t>
      </w:r>
      <w:r w:rsidR="00223608" w:rsidRPr="002638B2">
        <w:rPr>
          <w:rFonts w:ascii="Arial" w:eastAsia="Times New Roman" w:hAnsi="Arial" w:cs="Arial"/>
          <w:color w:val="000000"/>
          <w:sz w:val="28"/>
          <w:szCs w:val="28"/>
          <w:lang w:val="x-none" w:eastAsia="ru-RU"/>
        </w:rPr>
        <w:lastRenderedPageBreak/>
        <w:t xml:space="preserve">айни вақтда асосий назарий тамойиллар тизимига таянувчи келгуси тадқиқотлар дастури ҳамдир. </w:t>
      </w:r>
    </w:p>
    <w:p w:rsidR="00223608" w:rsidRPr="002638B2" w:rsidRDefault="00223608" w:rsidP="001E0A69">
      <w:pPr>
        <w:tabs>
          <w:tab w:val="left" w:pos="0"/>
        </w:tabs>
        <w:spacing w:after="0" w:line="276" w:lineRule="auto"/>
        <w:ind w:firstLine="567"/>
        <w:jc w:val="both"/>
        <w:rPr>
          <w:rFonts w:ascii="Arial" w:eastAsia="Times New Roman" w:hAnsi="Arial" w:cs="Arial"/>
          <w:color w:val="000000"/>
          <w:sz w:val="28"/>
          <w:szCs w:val="28"/>
          <w:lang w:val="uz-Cyrl-UZ" w:eastAsia="ru-RU"/>
        </w:rPr>
      </w:pPr>
      <w:r w:rsidRPr="002638B2">
        <w:rPr>
          <w:rFonts w:ascii="Arial" w:eastAsia="Times New Roman" w:hAnsi="Arial" w:cs="Arial"/>
          <w:color w:val="000000"/>
          <w:sz w:val="28"/>
          <w:szCs w:val="28"/>
          <w:lang w:val="uz-Cyrl-UZ" w:eastAsia="ru-RU"/>
        </w:rPr>
        <w:t>Ҳозирги кунда субъектнинг фаоллигига ҳеч ким шубҳа қилмайди. Чунки турли-туман назарияларнинг ҳаммаси инсоннинг меҳнат маҳсулидир. Илмий-ижодий изланишларда назария тушунтириш, башорат қилиш, амалда синаш ва синтез қилиш каби муҳим функцияларни бажаради. Жумладан, назария илмий далиллар тизимини тартибга солади, уларни ўз таркибига киритади ва ўзини ташкил этувчи қонунлар ва тамойиллардан оқибатлар сифатида янги далилларни яратади. Пухта ишлаб чиқилган назария фанга маълум бўлмаган ҳодисалар ва хоссаларни башорат қилиш имкониятига эга бўлади. Назария одамлар амалий фаолиятининг негизи бўлиб хизмат қилади, уларга табиий ва ижтимоий ҳодисалар дунёсида йўл кўрсатади. Назарияда илмий ғоялар, яъни унда акс эттирилган объектлар туркуми доирасида амал қилувчи фундаментал қонуниятлар ҳақидаги билимлар марказий ўринни эгаллайди. Илмий ғоя мазкур назарияни ташкил этувчи қонунлар, тамойиллар ва тушунчаларни мантиқан изчил яхлит тизимга бирлаштиради. Одатда сабабларни аниқлаш ўрганилаётган объектнинг моҳиятини очиш билан боғлиқдир. Назариянинг вазифаси сабабни аниқлаган ҳолда ҳодисанинг табиатини тушунтиришдан иборат.</w:t>
      </w:r>
    </w:p>
    <w:p w:rsidR="00223608" w:rsidRPr="002638B2" w:rsidRDefault="00223608" w:rsidP="001E0A69">
      <w:pPr>
        <w:tabs>
          <w:tab w:val="left" w:pos="0"/>
        </w:tabs>
        <w:spacing w:after="0" w:line="276" w:lineRule="auto"/>
        <w:ind w:firstLine="567"/>
        <w:jc w:val="both"/>
        <w:rPr>
          <w:rFonts w:ascii="Arial" w:eastAsia="Times New Roman" w:hAnsi="Arial" w:cs="Arial"/>
          <w:color w:val="000000"/>
          <w:sz w:val="28"/>
          <w:szCs w:val="28"/>
          <w:lang w:val="uz-Cyrl-UZ" w:eastAsia="ru-RU"/>
        </w:rPr>
      </w:pPr>
      <w:r w:rsidRPr="002638B2">
        <w:rPr>
          <w:rFonts w:ascii="Arial" w:eastAsia="Times New Roman" w:hAnsi="Arial" w:cs="Arial"/>
          <w:color w:val="000000"/>
          <w:sz w:val="28"/>
          <w:szCs w:val="28"/>
          <w:lang w:val="uz-Cyrl-UZ" w:eastAsia="ru-RU"/>
        </w:rPr>
        <w:t xml:space="preserve">Илмий назарияни шакллантиришда унда фойдаланиладиган атамаларни аниқлаш муҳим. Аниқлаш процедуралари икки асосий вазифани бажаради: 1) мавжуд назарияга янги атамаларни киритиш; 2) бирор атамани уни бошқа атамалар воситасида тавсифлаш орқали маъносини намоён қилиш. Шунга мос равишда икки комплекс масала юзага келади: атамалар киритишга оид масалалар ва атамаларнинг бошқа атамалар орқали аниқланишига оид масалалар. </w:t>
      </w:r>
      <w:r w:rsidRPr="002638B2">
        <w:rPr>
          <w:rFonts w:ascii="Arial" w:eastAsia="Times New Roman" w:hAnsi="Arial" w:cs="Arial"/>
          <w:color w:val="000000"/>
          <w:sz w:val="28"/>
          <w:szCs w:val="28"/>
          <w:lang w:eastAsia="ru-RU"/>
        </w:rPr>
        <w:t>Шундай ҳам бўлиши мумкинки, назариянинг бирор атамаси «ортиқча»лик қилади. Бунда бу атамага тегишли тушунчани қолган тушунчалар орқали ифодалаш мумкин. Бошқача сўз билан айтганда, назарияни бошқа атамалар орқали аниқланмайдиган атамалар сонини камайтириш йўли билан соддалаштириш мумкин.</w:t>
      </w:r>
      <w:r w:rsidRPr="002638B2">
        <w:rPr>
          <w:rFonts w:ascii="Arial" w:eastAsia="Times New Roman" w:hAnsi="Arial" w:cs="Arial"/>
          <w:color w:val="000000"/>
          <w:sz w:val="28"/>
          <w:szCs w:val="28"/>
          <w:lang w:val="uz-Cyrl-UZ" w:eastAsia="ru-RU"/>
        </w:rPr>
        <w:t xml:space="preserve"> </w:t>
      </w:r>
    </w:p>
    <w:p w:rsidR="00223608" w:rsidRPr="008C07BF" w:rsidRDefault="00223608" w:rsidP="008C07BF">
      <w:pPr>
        <w:pStyle w:val="a6"/>
        <w:numPr>
          <w:ilvl w:val="0"/>
          <w:numId w:val="4"/>
        </w:numPr>
        <w:spacing w:after="0" w:line="276" w:lineRule="auto"/>
        <w:ind w:left="0" w:firstLine="426"/>
        <w:jc w:val="both"/>
        <w:rPr>
          <w:rFonts w:ascii="Arial" w:eastAsia="Times New Roman" w:hAnsi="Arial" w:cs="Arial"/>
          <w:color w:val="000000"/>
          <w:sz w:val="28"/>
          <w:szCs w:val="28"/>
          <w:lang w:val="uz-Cyrl-UZ" w:eastAsia="ru-RU"/>
        </w:rPr>
      </w:pPr>
      <w:r w:rsidRPr="008C07BF">
        <w:rPr>
          <w:rFonts w:ascii="Arial" w:eastAsia="Times New Roman" w:hAnsi="Arial" w:cs="Arial"/>
          <w:b/>
          <w:i/>
          <w:color w:val="000000"/>
          <w:sz w:val="28"/>
          <w:szCs w:val="28"/>
          <w:lang w:val="uz-Cyrl-UZ" w:eastAsia="ru-RU"/>
        </w:rPr>
        <w:t>Қонун.</w:t>
      </w:r>
      <w:r w:rsidRPr="008C07BF">
        <w:rPr>
          <w:rFonts w:ascii="Arial" w:eastAsia="Times New Roman" w:hAnsi="Arial" w:cs="Arial"/>
          <w:color w:val="000000"/>
          <w:sz w:val="28"/>
          <w:szCs w:val="28"/>
          <w:lang w:val="uz-Cyrl-UZ" w:eastAsia="ru-RU"/>
        </w:rPr>
        <w:t xml:space="preserve"> Илмий-тадқиқотда қонуннинг ўрни муҳим ҳисобланади. </w:t>
      </w:r>
      <w:r w:rsidRPr="008C07BF">
        <w:rPr>
          <w:rFonts w:ascii="Arial" w:eastAsia="Times New Roman" w:hAnsi="Arial" w:cs="Arial"/>
          <w:i/>
          <w:color w:val="000000"/>
          <w:sz w:val="28"/>
          <w:szCs w:val="28"/>
          <w:lang w:val="uz-Cyrl-UZ" w:eastAsia="ru-RU"/>
        </w:rPr>
        <w:t>Илмий адабиётларда қонун тушунчасининг мазмун-моҳиятини очиб беришда, авваламбор, унинг моҳият тушунчаси билан боғлиқлигига, қонуният ва тенденция (ривожланиш) тушунчаларига, гносеологик томондан эса – гипотеза (фараз), назария, модель тамойилига эътибор қаратилади.</w:t>
      </w:r>
      <w:r w:rsidRPr="008C07BF">
        <w:rPr>
          <w:rFonts w:ascii="Arial" w:eastAsia="Times New Roman" w:hAnsi="Arial" w:cs="Arial"/>
          <w:color w:val="000000"/>
          <w:sz w:val="28"/>
          <w:szCs w:val="28"/>
          <w:lang w:val="uz-Cyrl-UZ" w:eastAsia="ru-RU"/>
        </w:rPr>
        <w:t xml:space="preserve"> Бироқ қонуннинг воқеа-ҳодисалар орасидаги </w:t>
      </w:r>
      <w:r w:rsidRPr="008C07BF">
        <w:rPr>
          <w:rFonts w:ascii="Arial" w:eastAsia="Times New Roman" w:hAnsi="Arial" w:cs="Arial"/>
          <w:color w:val="000000"/>
          <w:sz w:val="28"/>
          <w:szCs w:val="28"/>
          <w:lang w:val="uz-Cyrl-UZ" w:eastAsia="ru-RU"/>
        </w:rPr>
        <w:lastRenderedPageBreak/>
        <w:t xml:space="preserve">қарама-қаршилик ҳолатларини (тасодифий, аҳамиятсиз, тартибсиз ва ҳ.к.) бир-бирига боғловчи мустаҳкам такрорланувчан, зарур, аҳамиятли, алоқа сифатида солиштириш умумий масаланинг ечимини топиб бера олмайди. Чунки қонунни фақат алоҳида олинган қарама-қарши хусусиятлар билан эмас, балки бу хусусиятларнинг мажмуаси,  деб солиштирган ҳолатдагина биз қонун диалектикасини кўрсатиб ўтилган хусусиятлар комплекси сифатида тушунишимиз мумкин. Ҳар қандай қонун аниқ сабаблар асосида шаклланади. Шу маънода, қонун нисбий доимийликни ифодалайди. Қонун моҳиятнинг барқарор аломатларининг такрорланиши ҳамда барча жабҳалардаги муносабатларнинг мустаҳкамлигини ифодалайди. Турғун бўлмаган ташқи белгиларнинг ўзгариши қонуннинг табиатини ўзгартирмайди. Қатор нарсаларнинг барқарор белгилари такрорланиб турар экан,  бу нарсаларга умумий қонунлар хосдир. Бир тоифадаги нарсалар учун умумийликнинг мавжудлиги туфайли уларнинг ҳаракати ва фаолияти маълум бир доимийлик, такрорийлик билан тавсифланади, яъни уларнинг ўзгаришига маълум бир йўналиш хосдир. </w:t>
      </w:r>
    </w:p>
    <w:p w:rsidR="00223608" w:rsidRPr="002638B2" w:rsidRDefault="00223608" w:rsidP="001E0A69">
      <w:pPr>
        <w:tabs>
          <w:tab w:val="left" w:pos="0"/>
        </w:tabs>
        <w:spacing w:after="0" w:line="276" w:lineRule="auto"/>
        <w:ind w:firstLine="567"/>
        <w:jc w:val="both"/>
        <w:rPr>
          <w:rFonts w:ascii="Arial" w:eastAsia="Times New Roman" w:hAnsi="Arial" w:cs="Arial"/>
          <w:color w:val="000000"/>
          <w:sz w:val="28"/>
          <w:szCs w:val="28"/>
          <w:lang w:val="uz-Cyrl-UZ" w:eastAsia="ru-RU"/>
        </w:rPr>
      </w:pPr>
      <w:r w:rsidRPr="002638B2">
        <w:rPr>
          <w:rFonts w:ascii="Arial" w:eastAsia="Times New Roman" w:hAnsi="Arial" w:cs="Arial"/>
          <w:color w:val="000000"/>
          <w:sz w:val="28"/>
          <w:szCs w:val="28"/>
          <w:lang w:val="uz-Cyrl-UZ" w:eastAsia="ru-RU"/>
        </w:rPr>
        <w:t>Қонуннинг мавжудлигини ташкил этувчи барча омиллар унга нисбатан зарурият билан тавсифланадилар ва бундай қонунга ноаниқлик хос эмас. Қонун нарсалар орасидаги турғун муносабатлар ўрнатилишини билдиради.</w:t>
      </w:r>
      <w:r w:rsidRPr="002638B2">
        <w:rPr>
          <w:rFonts w:ascii="Arial" w:eastAsia="Times New Roman" w:hAnsi="Arial" w:cs="Arial"/>
          <w:bCs/>
          <w:color w:val="000000"/>
          <w:spacing w:val="3"/>
          <w:sz w:val="28"/>
          <w:szCs w:val="28"/>
          <w:lang w:val="uz-Cyrl-UZ" w:eastAsia="ru-RU"/>
        </w:rPr>
        <w:t xml:space="preserve"> Қонун – табиат ва жамиятдаги воқеа, ҳодиса ҳамда жараёнлар ўртасидаги муносабат ҳамдир. </w:t>
      </w:r>
      <w:r w:rsidRPr="002638B2">
        <w:rPr>
          <w:rFonts w:ascii="Arial" w:eastAsia="Times New Roman" w:hAnsi="Arial" w:cs="Arial"/>
          <w:color w:val="000000"/>
          <w:sz w:val="28"/>
          <w:szCs w:val="28"/>
          <w:lang w:val="uz-Cyrl-UZ" w:eastAsia="ru-RU"/>
        </w:rPr>
        <w:t>Қонун</w:t>
      </w:r>
      <w:r w:rsidRPr="002638B2">
        <w:rPr>
          <w:rFonts w:ascii="Arial" w:eastAsia="Times New Roman" w:hAnsi="Arial" w:cs="Arial"/>
          <w:b/>
          <w:color w:val="000000"/>
          <w:sz w:val="28"/>
          <w:szCs w:val="28"/>
          <w:lang w:val="uz-Cyrl-UZ" w:eastAsia="ru-RU"/>
        </w:rPr>
        <w:t xml:space="preserve"> </w:t>
      </w:r>
      <w:r w:rsidRPr="002638B2">
        <w:rPr>
          <w:rFonts w:ascii="Arial" w:eastAsia="Times New Roman" w:hAnsi="Arial" w:cs="Arial"/>
          <w:color w:val="000000"/>
          <w:sz w:val="28"/>
          <w:szCs w:val="28"/>
          <w:lang w:val="uz-Cyrl-UZ" w:eastAsia="ru-RU"/>
        </w:rPr>
        <w:t>– объектив оламдаги нарса ва ҳодисалар ўртасидаги алоқадорликнинг шакли, бирор бир нарсанинг зарурий равишда пайдо бўлишини ифодаловчи тушунча. Қонунни қонуниятлардан ажрата билиш керак. Албатта, қонун ва қонуният бир хил турдаги, бир даражали тушунчалардир. Уларнинг ҳар иккови воқеликнинг ички алоқаларини, ривожланишини акс эттиради. Лекин улар ўртасида фарқ ҳам бор. Қонун қонуниятнинг муайян бир томонини ифодалайди. Қонуният ҳодисаларнинг муайяи соҳасидаги ёки оламдаги қонунларнинг мажмуидир.</w:t>
      </w:r>
    </w:p>
    <w:p w:rsidR="00223608" w:rsidRPr="008C07BF" w:rsidRDefault="00223608" w:rsidP="008C07BF">
      <w:pPr>
        <w:pStyle w:val="a6"/>
        <w:numPr>
          <w:ilvl w:val="0"/>
          <w:numId w:val="4"/>
        </w:numPr>
        <w:spacing w:after="0" w:line="276" w:lineRule="auto"/>
        <w:ind w:left="0" w:firstLine="426"/>
        <w:jc w:val="both"/>
        <w:rPr>
          <w:rFonts w:ascii="Arial" w:eastAsia="Times New Roman" w:hAnsi="Arial" w:cs="Arial"/>
          <w:color w:val="000000"/>
          <w:sz w:val="28"/>
          <w:szCs w:val="28"/>
          <w:lang w:val="uz-Cyrl-UZ" w:eastAsia="ru-RU"/>
        </w:rPr>
      </w:pPr>
      <w:r w:rsidRPr="008C07BF">
        <w:rPr>
          <w:rFonts w:ascii="Arial" w:eastAsia="Times New Roman" w:hAnsi="Arial" w:cs="Arial"/>
          <w:b/>
          <w:i/>
          <w:color w:val="000000"/>
          <w:sz w:val="28"/>
          <w:szCs w:val="28"/>
          <w:lang w:val="uz-Cyrl-UZ" w:eastAsia="ru-RU"/>
        </w:rPr>
        <w:t>Парадигма.</w:t>
      </w:r>
      <w:r w:rsidRPr="008C07BF">
        <w:rPr>
          <w:rFonts w:ascii="Arial" w:eastAsia="Times New Roman" w:hAnsi="Arial" w:cs="Arial"/>
          <w:color w:val="000000"/>
          <w:sz w:val="28"/>
          <w:szCs w:val="28"/>
          <w:lang w:val="uz-Cyrl-UZ" w:eastAsia="ru-RU"/>
        </w:rPr>
        <w:t xml:space="preserve"> Илмий-тадқиқот фаолиятида парадигма ҳам ўзига хос тарзда намоён бўлади. </w:t>
      </w:r>
      <w:r w:rsidRPr="008C07BF">
        <w:rPr>
          <w:rFonts w:ascii="Arial" w:eastAsia="Times New Roman" w:hAnsi="Arial" w:cs="Arial"/>
          <w:i/>
          <w:color w:val="000000"/>
          <w:sz w:val="28"/>
          <w:szCs w:val="28"/>
          <w:lang w:val="uz-Cyrl-UZ" w:eastAsia="ru-RU"/>
        </w:rPr>
        <w:t>Парадигма ,  илмий муаммоларни ечишга доир, илмий жамоа томонидан тан олинган, аниқланган қонуниятларни фикрлаб олишга ёрдам берадиган ва шунингдек, ушбу фан соҳасининг янада ривожланишини прогнозлашга ёрдам берадиган идеалдир.</w:t>
      </w:r>
      <w:r w:rsidRPr="008C07BF">
        <w:rPr>
          <w:rFonts w:ascii="Arial" w:eastAsia="Times New Roman" w:hAnsi="Arial" w:cs="Arial"/>
          <w:color w:val="000000"/>
          <w:sz w:val="28"/>
          <w:szCs w:val="28"/>
          <w:lang w:val="uz-Cyrl-UZ" w:eastAsia="ru-RU"/>
        </w:rPr>
        <w:t xml:space="preserve"> Парадигма фан тараққиёти давомида ҳосил қилинган муайян стандартларни ўз ичига олади, шу стандартлардан паст даражада бажарилган нарсалар муҳокамага қўйилмайди. Бу </w:t>
      </w:r>
      <w:r w:rsidRPr="008C07BF">
        <w:rPr>
          <w:rFonts w:ascii="Arial" w:eastAsia="Times New Roman" w:hAnsi="Arial" w:cs="Arial"/>
          <w:color w:val="000000"/>
          <w:sz w:val="28"/>
          <w:szCs w:val="28"/>
          <w:lang w:val="uz-Cyrl-UZ" w:eastAsia="ru-RU"/>
        </w:rPr>
        <w:lastRenderedPageBreak/>
        <w:t xml:space="preserve">стандартларни қўллаб-қувватлаш илмий иш мутахассисининг муҳим компонентларидан биридир. Албатта, янги парадигмаларнинг шаклланиши фан тараққиётида ўз ортидан бор бўлган стандартлар, илмий билишнинг идеал ва меъёрларининг ўзгариб боришини юзага келтиради. Шу билан бирга, илмий билимни унинг тараққиётидаги парадигмалар атамаларида баён қилиш концепцияси кумулятив омилдан келиб чиқади. Илмий билимлар тараққиётида кумулятив жараёнларнинг моҳияти шундаки, бирор алоҳида фанда ёки бутун фанда эришилган стандартлар, идеаллар, меъёрлар ва қадриятлар фанни  умуман,  намоён қилади ва фаннинг билимлар системаси эканлиги ҳақида тасаввур ҳосил қилади. </w:t>
      </w:r>
    </w:p>
    <w:p w:rsidR="00223608" w:rsidRPr="008C07BF" w:rsidRDefault="00223608" w:rsidP="008C07BF">
      <w:pPr>
        <w:pStyle w:val="a6"/>
        <w:numPr>
          <w:ilvl w:val="0"/>
          <w:numId w:val="4"/>
        </w:numPr>
        <w:spacing w:after="0" w:line="276" w:lineRule="auto"/>
        <w:ind w:left="0" w:firstLine="426"/>
        <w:jc w:val="both"/>
        <w:rPr>
          <w:rFonts w:ascii="Arial" w:eastAsia="Calibri" w:hAnsi="Arial" w:cs="Arial"/>
          <w:color w:val="000000"/>
          <w:sz w:val="28"/>
          <w:szCs w:val="28"/>
          <w:lang w:val="uz-Cyrl-UZ" w:eastAsia="ru-RU"/>
        </w:rPr>
      </w:pPr>
      <w:r w:rsidRPr="008C07BF">
        <w:rPr>
          <w:rFonts w:ascii="Arial" w:eastAsia="Times New Roman" w:hAnsi="Arial" w:cs="Arial"/>
          <w:b/>
          <w:i/>
          <w:color w:val="000000"/>
          <w:sz w:val="28"/>
          <w:szCs w:val="28"/>
          <w:lang w:val="uz-Cyrl-UZ" w:eastAsia="ru-RU"/>
        </w:rPr>
        <w:t>Тизимлилик.</w:t>
      </w:r>
      <w:r w:rsidRPr="008C07BF">
        <w:rPr>
          <w:rFonts w:ascii="Arial" w:eastAsia="Times New Roman" w:hAnsi="Arial" w:cs="Arial"/>
          <w:color w:val="000000"/>
          <w:sz w:val="28"/>
          <w:szCs w:val="28"/>
          <w:lang w:val="uz-Cyrl-UZ" w:eastAsia="ru-RU"/>
        </w:rPr>
        <w:t xml:space="preserve"> Илмий-тадқиқотни самарали йўлга қўйишда тизимлилик муҳим аҳамиятга эга. Чунки, </w:t>
      </w:r>
      <w:r w:rsidRPr="008C07BF">
        <w:rPr>
          <w:rFonts w:ascii="Arial" w:eastAsia="Times New Roman" w:hAnsi="Arial" w:cs="Arial"/>
          <w:i/>
          <w:color w:val="000000"/>
          <w:sz w:val="28"/>
          <w:szCs w:val="28"/>
          <w:lang w:val="uz-Cyrl-UZ" w:eastAsia="ru-RU"/>
        </w:rPr>
        <w:t>тизимлилик илмий тадқиқотнинг ўз-ўзига таъсир қилиш тамойили унинг янада асосли далилларга суянишида муҳим ўринни эгаллайди.</w:t>
      </w:r>
      <w:r w:rsidRPr="008C07BF">
        <w:rPr>
          <w:rFonts w:ascii="Arial" w:eastAsia="Times New Roman" w:hAnsi="Arial" w:cs="Arial"/>
          <w:color w:val="000000"/>
          <w:sz w:val="28"/>
          <w:szCs w:val="28"/>
          <w:lang w:val="uz-Cyrl-UZ" w:eastAsia="ru-RU"/>
        </w:rPr>
        <w:t xml:space="preserve"> Айни пайтда, илмий тадқиқотнинг манбаи бўлган янги назарий билимлар ва технологиялар ўзаро мувофиқлашган ҳолда илмий-методологик тизимни шакллантиради. Шу маънода, ҳар қандай ижодий муҳитда янги билимга эга бўлиш даражаси чекланган бўлса, унинг фаоллиги паст даражага тушиб қолади. Бундай илмий саёзлашиш илмий фаолиятдаги догмалашувга ёки бўрттирилган илмий фундаментализмга олиб келади, яъни эски илмий андазаларга, меъёрларга мослашиб ундан чиқиб кетолмаслик ҳақиқатни билишдаги конкрет далил ва воқеликни аниқлашга тўсқинлик қилади. Демак, илмий тадқиқотда ушбу йўл билан нафақат аниқ бир илмий мақсад тўғри танлаб олинади, балки унга етишиш учун бир-бирига адекват билимлар ҳам инкор қилинади. Оқибатда эса янги билимларга эмас, балки эскилик сарқитларига суяниб қолиш ҳолатлари кўп учрайдиган бўлиб қолади. Айни пайтда ижодий изланишларини тўғри ва самарали йўлга қўйишда инсоннинг юқори даражада билимга эга бўлиши ёки аксинча тадқиқот жараёнидаги бирон-бир қарорга тез келиши, бир вазиятдан иккинчисига тез кўника олиши билан белгиланади. Масалан, илм-фан, сиёсат, иқтисодиёт, ижтимоий-маданий ҳаётда илмий-тадқиқот фаолиятнинг аҳамияти тобора ошиб бориши инсоннинг эркин ижод қилиш имконияти билан боғлиқ. Бу ҳолат эса инсоннинг ижодий фикрлашининг ўсишига, руҳий зўриқишлардан озод бўлишига олиб келади. Бундай эркинлик илмий-тадқиқот фаолиятининг намоён бўлиш шакли сифатида инсонга янги ишонч, қўшимча куч беради. Масалан, </w:t>
      </w:r>
      <w:r w:rsidRPr="008C07BF">
        <w:rPr>
          <w:rFonts w:ascii="Arial" w:eastAsia="Calibri" w:hAnsi="Arial" w:cs="Arial"/>
          <w:color w:val="000000"/>
          <w:sz w:val="28"/>
          <w:szCs w:val="28"/>
          <w:lang w:val="uz-Cyrl-UZ" w:eastAsia="ru-RU"/>
        </w:rPr>
        <w:t xml:space="preserve">К.Поппер ўз даврида илмий ижодда илмийликни ғайриилмийликдан спекулятив равишда </w:t>
      </w:r>
      <w:r w:rsidRPr="008C07BF">
        <w:rPr>
          <w:rFonts w:ascii="Arial" w:eastAsia="Calibri" w:hAnsi="Arial" w:cs="Arial"/>
          <w:color w:val="000000"/>
          <w:sz w:val="28"/>
          <w:szCs w:val="28"/>
          <w:lang w:val="uz-Cyrl-UZ" w:eastAsia="ru-RU"/>
        </w:rPr>
        <w:lastRenderedPageBreak/>
        <w:t>ажратишни таклиф қилиш орқали фалсификация тамойилини ишлаб чиққан эди</w:t>
      </w:r>
      <w:r w:rsidRPr="002638B2">
        <w:rPr>
          <w:rFonts w:eastAsia="Calibri"/>
          <w:vertAlign w:val="superscript"/>
          <w:lang w:val="uz-Cyrl-UZ" w:eastAsia="ru-RU"/>
        </w:rPr>
        <w:footnoteReference w:id="4"/>
      </w:r>
      <w:r w:rsidRPr="008C07BF">
        <w:rPr>
          <w:rFonts w:ascii="Arial" w:eastAsia="Calibri" w:hAnsi="Arial" w:cs="Arial"/>
          <w:color w:val="000000"/>
          <w:sz w:val="28"/>
          <w:szCs w:val="28"/>
          <w:lang w:val="uz-Cyrl-UZ" w:eastAsia="ru-RU"/>
        </w:rPr>
        <w:t>.</w:t>
      </w:r>
    </w:p>
    <w:p w:rsidR="00223608" w:rsidRPr="002638B2" w:rsidRDefault="00223608" w:rsidP="00F7537C">
      <w:pPr>
        <w:tabs>
          <w:tab w:val="left" w:pos="0"/>
        </w:tabs>
        <w:spacing w:after="0" w:line="276" w:lineRule="auto"/>
        <w:ind w:firstLine="180"/>
        <w:jc w:val="both"/>
        <w:rPr>
          <w:rFonts w:ascii="Arial" w:eastAsia="Times New Roman" w:hAnsi="Arial" w:cs="Arial"/>
          <w:sz w:val="28"/>
          <w:szCs w:val="28"/>
          <w:lang w:val="uz-Cyrl-UZ" w:eastAsia="ru-RU"/>
        </w:rPr>
      </w:pPr>
      <w:r w:rsidRPr="002638B2">
        <w:rPr>
          <w:rFonts w:ascii="Arial" w:eastAsia="Calibri" w:hAnsi="Arial" w:cs="Arial"/>
          <w:color w:val="000000"/>
          <w:sz w:val="28"/>
          <w:szCs w:val="28"/>
          <w:lang w:val="uz-Cyrl-UZ" w:eastAsia="ru-RU"/>
        </w:rPr>
        <w:t xml:space="preserve"> </w:t>
      </w:r>
      <w:r w:rsidRPr="002638B2">
        <w:rPr>
          <w:rFonts w:ascii="Arial" w:eastAsia="Calibri" w:hAnsi="Arial" w:cs="Arial"/>
          <w:color w:val="000000"/>
          <w:sz w:val="28"/>
          <w:szCs w:val="28"/>
          <w:lang w:val="uz-Cyrl-UZ" w:eastAsia="ru-RU"/>
        </w:rPr>
        <w:tab/>
      </w:r>
      <w:r w:rsidRPr="002638B2">
        <w:rPr>
          <w:rFonts w:ascii="Arial" w:eastAsia="Times New Roman" w:hAnsi="Arial" w:cs="Arial"/>
          <w:b/>
          <w:i/>
          <w:sz w:val="28"/>
          <w:szCs w:val="28"/>
          <w:lang w:val="uz-Cyrl-UZ" w:eastAsia="ru-RU"/>
        </w:rPr>
        <w:t>Интуиция.</w:t>
      </w:r>
      <w:r w:rsidRPr="002638B2">
        <w:rPr>
          <w:rFonts w:ascii="Arial" w:eastAsia="Times New Roman" w:hAnsi="Arial" w:cs="Arial"/>
          <w:sz w:val="28"/>
          <w:szCs w:val="28"/>
          <w:lang w:val="uz-Cyrl-UZ" w:eastAsia="ru-RU"/>
        </w:rPr>
        <w:t xml:space="preserve">    </w:t>
      </w:r>
      <w:r w:rsidRPr="002638B2">
        <w:rPr>
          <w:rFonts w:ascii="Arial" w:eastAsia="Times New Roman" w:hAnsi="Arial" w:cs="Arial"/>
          <w:i/>
          <w:sz w:val="28"/>
          <w:szCs w:val="28"/>
          <w:lang w:val="uz-Cyrl-UZ" w:eastAsia="ru-RU"/>
        </w:rPr>
        <w:t xml:space="preserve">     Интуиция</w:t>
      </w:r>
      <w:r w:rsidRPr="002638B2">
        <w:rPr>
          <w:rFonts w:ascii="Arial" w:eastAsia="Times New Roman" w:hAnsi="Arial" w:cs="Arial"/>
          <w:sz w:val="28"/>
          <w:szCs w:val="28"/>
          <w:lang w:val="uz-Cyrl-UZ" w:eastAsia="ru-RU"/>
        </w:rPr>
        <w:t xml:space="preserve"> </w:t>
      </w:r>
      <w:r w:rsidRPr="002638B2">
        <w:rPr>
          <w:rFonts w:ascii="Arial" w:eastAsia="Times New Roman" w:hAnsi="Arial" w:cs="Arial"/>
          <w:i/>
          <w:sz w:val="28"/>
          <w:szCs w:val="28"/>
          <w:lang w:val="uz-Cyrl-UZ" w:eastAsia="ru-RU"/>
        </w:rPr>
        <w:t>инсон ҳаётида алоҳида феноменал ва мураккаб фаолият бўлиб, инсон руҳий фаолиятида, яъни ижодий меҳнатда, хусусан, илмий ижодда катта роль  ўйнайди</w:t>
      </w:r>
      <w:r w:rsidRPr="002638B2">
        <w:rPr>
          <w:rFonts w:ascii="Arial" w:eastAsia="Times New Roman" w:hAnsi="Arial" w:cs="Arial"/>
          <w:sz w:val="28"/>
          <w:szCs w:val="28"/>
          <w:vertAlign w:val="superscript"/>
          <w:lang w:val="x-none" w:eastAsia="ru-RU"/>
        </w:rPr>
        <w:footnoteReference w:id="5"/>
      </w:r>
      <w:r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val="x-none" w:eastAsia="ru-RU"/>
        </w:rPr>
        <w:t xml:space="preserve">Шу билан бирга </w:t>
      </w:r>
      <w:r w:rsidRPr="002638B2">
        <w:rPr>
          <w:rFonts w:ascii="Arial" w:eastAsia="Times New Roman" w:hAnsi="Arial" w:cs="Arial"/>
          <w:sz w:val="28"/>
          <w:szCs w:val="28"/>
          <w:lang w:val="uz-Cyrl-UZ" w:eastAsia="ru-RU"/>
        </w:rPr>
        <w:t xml:space="preserve">у ижодий изланишда </w:t>
      </w:r>
      <w:r w:rsidRPr="002638B2">
        <w:rPr>
          <w:rFonts w:ascii="Arial" w:eastAsia="Times New Roman" w:hAnsi="Arial" w:cs="Arial"/>
          <w:sz w:val="28"/>
          <w:szCs w:val="28"/>
          <w:lang w:val="x-none" w:eastAsia="ru-RU"/>
        </w:rPr>
        <w:t xml:space="preserve">хотира, тафаккур ва образли тасаввур билан алоқада бўлади. </w:t>
      </w:r>
      <w:r w:rsidRPr="002638B2">
        <w:rPr>
          <w:rFonts w:ascii="Arial" w:eastAsia="Times New Roman" w:hAnsi="Arial" w:cs="Arial"/>
          <w:sz w:val="28"/>
          <w:szCs w:val="28"/>
          <w:lang w:val="uz-Cyrl-UZ" w:eastAsia="ru-RU"/>
        </w:rPr>
        <w:t>Баъзи ижодкорлар фан ва санъатда умуман янги кашфиётлар қилиб, кўпинча ўзи ҳам буни қандай қилганини билмайди. Шундай қилиб, ижодий фаолиятда янги фикрнинг қандай пайдо бўлишини, биз сунъий йўл билан билолмаймиз. Чунки янги фикр бу асл (оригинал) тушуниш, шахсий нуқтаи  назар (бир қатор сўзлар эмас, балки  таассуротлар, онгимизда ҳар сония ўтадиган ҳодисадир –З.Қ.) бўлиб</w:t>
      </w:r>
      <w:r w:rsidRPr="002638B2">
        <w:rPr>
          <w:rFonts w:ascii="Arial" w:eastAsia="Times New Roman" w:hAnsi="Arial" w:cs="Arial"/>
          <w:b/>
          <w:sz w:val="28"/>
          <w:szCs w:val="28"/>
          <w:lang w:val="uz-Cyrl-UZ" w:eastAsia="ru-RU"/>
        </w:rPr>
        <w:t>,</w:t>
      </w:r>
      <w:r w:rsidRPr="002638B2">
        <w:rPr>
          <w:rFonts w:ascii="Arial" w:eastAsia="Times New Roman" w:hAnsi="Arial" w:cs="Arial"/>
          <w:sz w:val="28"/>
          <w:szCs w:val="28"/>
          <w:lang w:val="uz-Cyrl-UZ" w:eastAsia="ru-RU"/>
        </w:rPr>
        <w:t xml:space="preserve"> у камдан-кам ҳолларда инсон миясига қуюлиб келади, эҳтимол ҳаётда бир неча марта келган бўлиши ҳам мумкин. Дарҳақиқат, айтишимиз мумкинки, агар одам ўзини фикрлашга мажбур қилишнинг йўлини билганда эди, ҳамма даҳо бўлиб кетган бўлар эди.</w:t>
      </w:r>
    </w:p>
    <w:p w:rsidR="00223608" w:rsidRPr="002638B2" w:rsidRDefault="00223608" w:rsidP="00F7537C">
      <w:pPr>
        <w:tabs>
          <w:tab w:val="left" w:pos="0"/>
        </w:tabs>
        <w:spacing w:after="0" w:line="276" w:lineRule="auto"/>
        <w:ind w:firstLine="180"/>
        <w:jc w:val="both"/>
        <w:rPr>
          <w:rFonts w:ascii="Arial" w:eastAsia="Times New Roman" w:hAnsi="Arial" w:cs="Arial"/>
          <w:sz w:val="28"/>
          <w:szCs w:val="28"/>
          <w:lang w:eastAsia="ru-RU"/>
        </w:rPr>
      </w:pPr>
      <w:r w:rsidRPr="002638B2">
        <w:rPr>
          <w:rFonts w:ascii="Arial" w:eastAsia="Times New Roman" w:hAnsi="Arial" w:cs="Arial"/>
          <w:i/>
          <w:sz w:val="28"/>
          <w:szCs w:val="28"/>
          <w:lang w:val="uz-Cyrl-UZ" w:eastAsia="ru-RU"/>
        </w:rPr>
        <w:tab/>
        <w:t>Интуиция – ҳақиқатни мантиқий далиллар ёрдамисиз, бевосита англаб етиш қобилиятидир</w:t>
      </w:r>
      <w:r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eastAsia="ru-RU"/>
        </w:rPr>
        <w:t xml:space="preserve">У доим инсон ақли ва жони биргаликда амалга оширган катта иш маҳсули ҳисобланади. Шу маънода фақат истеъдодли, меҳнаткаш ва тиришқоқ одамларгина интуитив билишга қодир. </w:t>
      </w:r>
    </w:p>
    <w:p w:rsidR="00223608" w:rsidRPr="002638B2" w:rsidRDefault="00223608" w:rsidP="00F7537C">
      <w:pPr>
        <w:tabs>
          <w:tab w:val="left" w:pos="0"/>
        </w:tabs>
        <w:spacing w:after="0" w:line="276" w:lineRule="auto"/>
        <w:ind w:firstLine="180"/>
        <w:jc w:val="both"/>
        <w:rPr>
          <w:rFonts w:ascii="Arial" w:eastAsia="Times New Roman" w:hAnsi="Arial" w:cs="Arial"/>
          <w:sz w:val="28"/>
          <w:szCs w:val="28"/>
          <w:lang w:eastAsia="ru-RU"/>
        </w:rPr>
      </w:pPr>
      <w:r w:rsidRPr="002638B2">
        <w:rPr>
          <w:rFonts w:ascii="Arial" w:eastAsia="Times New Roman" w:hAnsi="Arial" w:cs="Arial"/>
          <w:sz w:val="28"/>
          <w:szCs w:val="28"/>
          <w:lang w:eastAsia="ru-RU"/>
        </w:rPr>
        <w:tab/>
        <w:t xml:space="preserve">Интуиция муаммоси фалсафа ва табиатшунослик тарихида ҳар хил, баъзан бир-бирини истисно этувчи ёндашувлар, нуқтаи назарлар ва тасаввурлар билан тавсифланади. Антик фалсафадаёқ бу муаммо атрофида кескин баҳслар бўлган. Иония фалсафаси намояндалари интуицияга бевосита билим, сезги аъзолари орқали билиш шакли деб қараган бўлсалар, элей мактаби вакиллари, шунингдек Левкипп ва Демокрит бевосита билим ва сезги аъзолари орқали билишни рад этганлар, сезгиларни сохта деб эълон қилганлар. Суқрот талқинида интуиция «даймоний» ёки «предмет ғоясига эгалик»дир. Платон ҳам ҳиссий билишни ҳақиқат эмас деб ҳисоблаган. </w:t>
      </w:r>
    </w:p>
    <w:p w:rsidR="00223608" w:rsidRPr="002638B2" w:rsidRDefault="00223608" w:rsidP="00F7537C">
      <w:pPr>
        <w:tabs>
          <w:tab w:val="left" w:pos="0"/>
        </w:tabs>
        <w:spacing w:after="0" w:line="276" w:lineRule="auto"/>
        <w:ind w:firstLine="180"/>
        <w:jc w:val="both"/>
        <w:rPr>
          <w:rFonts w:ascii="Arial" w:eastAsia="Times New Roman" w:hAnsi="Arial" w:cs="Arial"/>
          <w:sz w:val="28"/>
          <w:szCs w:val="28"/>
          <w:lang w:eastAsia="ru-RU"/>
        </w:rPr>
      </w:pPr>
      <w:r w:rsidRPr="002638B2">
        <w:rPr>
          <w:rFonts w:ascii="Arial" w:eastAsia="Times New Roman" w:hAnsi="Arial" w:cs="Arial"/>
          <w:sz w:val="28"/>
          <w:szCs w:val="28"/>
          <w:lang w:eastAsia="ru-RU"/>
        </w:rPr>
        <w:tab/>
        <w:t xml:space="preserve">Янги даврда Декарт, Спиноза, Лейбниц интеллектуал интуиция ҳақидаги таълимотни яратди. Декарт интуиция деганда сезгиларнинг омонат гувоҳлиги ва тартибсиз хаёлнинг алдамчи мулоҳазасига бўлган ишончни эмас, балки теран ва зеҳнли ақлни тушунади. Спиноза интуицияни нарсаларнинг моҳиятини қамраб олувчи энг ишончли билиш деб ҳисоблайди. Сенсуалистлар сезги даражасидаги </w:t>
      </w:r>
      <w:r w:rsidRPr="002638B2">
        <w:rPr>
          <w:rFonts w:ascii="Arial" w:eastAsia="Times New Roman" w:hAnsi="Arial" w:cs="Arial"/>
          <w:sz w:val="28"/>
          <w:szCs w:val="28"/>
          <w:lang w:eastAsia="ru-RU"/>
        </w:rPr>
        <w:lastRenderedPageBreak/>
        <w:t>интуицияни тарғиб қилади, сезги аъзолари орқали, бевосита билишни биринчи ўринга қўяди. Ж.Локк фикрига кўра, ақл – сезги аъзолари фаолиятининг ҳақиқий натижаларини узлуксиз қайд этувчи кўзгу, холос. Билишнинг бу томонини рад этиб бўлмайди: ақл шу томонга ўз эътиборини қаратгани заҳоти у, худди қуёшнинг ёрқин нурлари каби, ўзини бевосита идрок этишга мажбур қилади. Иккиланиш, шубҳаланиш, ўрганишга ҳеч қандай ўрин қолмайди: ақл шу заҳоти унинг ёрқин нурлари билан тўлади, исботлаш ёки ўрганишга муҳтож бўлмайди, бироқ ҳақиқатни фақат унга ўз эътибори қаратилганлиги туфайли идрок этади.  Муаммони ўрганишга немис классик фалсафаси муҳим ҳисса қўшди. Кант интеллектуал интуиция қобилиятини инкор этиб, соф аперцепция ғоясини илгари суради. Бироқ кейинчалик Фихте Кантнинг соф аперцепцияси амалда интеллектуал интуициянинг ўзи эканлигини, у Декарт, Спиноза ва Лейбницнинг амалда мавжуд нарсаларни билиш қобилияти сифатида қаралган интеллектуал интуициясидан Кантда интуиция фаолиятни билишга қаратилганлиги билан фарқ қилишини кўрсатди. Фихтенинг ўзи интеллектуал интуицияни амалда мавжуд нарсаларни эмас, балки мутлақ нарсалар фаолиятини билиш сифатида тушунади. Шеллинг Кант-Фихте йўналишини ривожлантириб, уларнинг таълимотини ўзининг трансцендентал идеализми – «субстанцияни билиш учун» ўз натурфалсафаси билан тўлдиради, эстетик тасаввурни биринчи ўринга қўяди. Ўтмиш рационалистларидан фарқли ўлароқ, у интуициянинг сабабларини идрок эмас, балки ақл фаолиятидан қидиради. Гегель ўз ўтмишдошларининг интеллектуал интуиция ҳақидаги таълимотларига танқидий ёндашиб, билиш манти</w:t>
      </w:r>
      <w:r w:rsidRPr="002638B2">
        <w:rPr>
          <w:rFonts w:ascii="Arial" w:eastAsia="Times New Roman" w:hAnsi="Arial" w:cs="Arial"/>
          <w:sz w:val="28"/>
          <w:szCs w:val="28"/>
          <w:lang w:val="uz-Cyrl-UZ" w:eastAsia="ru-RU"/>
        </w:rPr>
        <w:t>ғ</w:t>
      </w:r>
      <w:r w:rsidRPr="002638B2">
        <w:rPr>
          <w:rFonts w:ascii="Arial" w:eastAsia="Times New Roman" w:hAnsi="Arial" w:cs="Arial"/>
          <w:sz w:val="28"/>
          <w:szCs w:val="28"/>
          <w:lang w:eastAsia="ru-RU"/>
        </w:rPr>
        <w:t xml:space="preserve">и, назарияси сифатида диалектикани ишлаб чиқади. У фалсафани тафаккур фанига айлантиради, унинг соф тафаккурга асосланган мантиқий оқилона тизимини яратади, шу сабабли унинг таълимотида интеллектуал интуиция ўрнини диалектика эгаллайди. </w:t>
      </w:r>
    </w:p>
    <w:p w:rsidR="00223608" w:rsidRPr="002638B2" w:rsidRDefault="00223608" w:rsidP="001E0A69">
      <w:pPr>
        <w:tabs>
          <w:tab w:val="left" w:pos="0"/>
        </w:tabs>
        <w:spacing w:after="0" w:line="276" w:lineRule="auto"/>
        <w:ind w:firstLine="567"/>
        <w:jc w:val="both"/>
        <w:rPr>
          <w:rFonts w:ascii="Arial" w:eastAsia="Times New Roman" w:hAnsi="Arial" w:cs="Arial"/>
          <w:sz w:val="28"/>
          <w:szCs w:val="28"/>
          <w:lang w:eastAsia="ru-RU"/>
        </w:rPr>
      </w:pPr>
      <w:r w:rsidRPr="002638B2">
        <w:rPr>
          <w:rFonts w:ascii="Arial" w:eastAsia="Times New Roman" w:hAnsi="Arial" w:cs="Arial"/>
          <w:sz w:val="28"/>
          <w:szCs w:val="28"/>
          <w:lang w:val="uz-Cyrl-UZ" w:eastAsia="ru-RU"/>
        </w:rPr>
        <w:t xml:space="preserve">ХХ аср бошида ҳар хил мактаблар: Гуссерлнинг феноменологик интуиция (редукция), Бергсоннинг интуитивизм, Фрейднинг онг ости интуицияси ва бошқа йўналишлар юзага келди. Бу мактаблар интуицияни билишнинг инстинкт, онг ости ҳодисаси, диний эътиқод ва ҳоказоларни ўзида уйғунлаштирган иррационал ҳаракати сифатида тушунади. Бу йўналишларнинг ўзига хос хусусияти шундаки, улар дунёни илмий билишда ақлнинг, тушунчалар воситасида тафаккурнинг ролини камситади. Тафаккур ўрнига предметни кераксиз рационалистик мулоҳазаларсиз «асл ҳолича» қамраб олиш имконини берувчи интуиция қўйилади.  Бугунги кунда иррационализм ғояларини </w:t>
      </w:r>
      <w:r w:rsidRPr="002638B2">
        <w:rPr>
          <w:rFonts w:ascii="Arial" w:eastAsia="Times New Roman" w:hAnsi="Arial" w:cs="Arial"/>
          <w:sz w:val="28"/>
          <w:szCs w:val="28"/>
          <w:lang w:val="uz-Cyrl-UZ" w:eastAsia="ru-RU"/>
        </w:rPr>
        <w:lastRenderedPageBreak/>
        <w:t xml:space="preserve">экзистенциализм, неопозитивизм ва ҳозирги замон фалсафасининг айрим бошқа йўналишлари ривожлантирмоқда. </w:t>
      </w:r>
      <w:r w:rsidRPr="002638B2">
        <w:rPr>
          <w:rFonts w:ascii="Arial" w:eastAsia="Times New Roman" w:hAnsi="Arial" w:cs="Arial"/>
          <w:sz w:val="28"/>
          <w:szCs w:val="28"/>
          <w:lang w:eastAsia="ru-RU"/>
        </w:rPr>
        <w:t>Масалан, экзистенциалист Хайдеггер фикрига кўра, «экзистенция»ни мантиқий тушуниш мумкин эмас. Ясперсда эътиқод, интуитив тарзда қараладиган мистик «ваҳий» биринчи ўринга қўйилади. Марсель «абстракциялар руҳи»га қарши аёвсиз курашни тарғиб қилади. Инглизлар Росс, Мур, Ричард моддий нарсаларни билишнинг сезги ва ақл даражаларини четлаб ўтиб, қандайдир мистик интуиция ёрдамида, бевосита билиш мумкинлигини исботлашга ҳаракат қилади. Шундай қилиб, ўтмишда файласуфлар интуиция деганда инсоннинг ҳақиқий борлиқни билиш қобилиятини тушунган, уларнинг айримлари (Спиноза) интуицияга ақлнинг олий кўриниши сифатида ёндашган бўлсалар, ҳозирги интуитивистлар ақлнинг, тафаккурнинг ролини камситадилар ёки инкор этадилар, алогизм ва мистик иррационализмни тарғиб қиладилар. Мантиқ сифатида тушуниладиган диалектика интуициянинг шаклланиши ва унинг натижаларига танқидий ёндашилишига имконият яратади. Гарчи интуиция дедуктив назариянинг муҳим бўғинларини кўрсатиб берса-да, у бизни уларни исботлаш заруриятидан халос этмайди. Бевосита, кутилмаган ва англаб етилмаган билим сифатида интуиция қуруқ жойда эмас, балки вазифаларни ечиш, ечимни «интуитив» топишни белгилайдиган муайян асослар мавжуд бўлган ҳолда юзага келади. Бироқ интуиция натижаларини билимнинг тегишли шарт-шароитлар мавжуд бўлган соҳаларида текшириш лозим. Масалан, математика ва физикада олинган натижаларни фақат тажриба ўтказиш йўли билан текшириш мумкин. Инсон руҳияти ҳиссий, оқилона ва эйдетик билимнинг янги шаклларини яратиш узлуксиз жараёни сифатида амал қилади. Инглиз олими Г.Уоллес маънавий ижод жараёнларининг тайёргарлик, етилиш, англаш ва текшириш</w:t>
      </w:r>
      <w:r w:rsidRPr="002638B2">
        <w:rPr>
          <w:rFonts w:ascii="Arial" w:eastAsia="Times New Roman" w:hAnsi="Arial" w:cs="Arial"/>
          <w:sz w:val="28"/>
          <w:szCs w:val="28"/>
          <w:lang w:val="uz-Cyrl-UZ" w:eastAsia="ru-RU"/>
        </w:rPr>
        <w:t xml:space="preserve"> </w:t>
      </w:r>
      <w:r w:rsidRPr="002638B2">
        <w:rPr>
          <w:rFonts w:ascii="Arial" w:eastAsia="Times New Roman" w:hAnsi="Arial" w:cs="Arial"/>
          <w:sz w:val="28"/>
          <w:szCs w:val="28"/>
          <w:lang w:eastAsia="ru-RU"/>
        </w:rPr>
        <w:t>қуйидаги босқичларини қайд этган. Ижоднинг муҳим босқичи – янгиликни интуитив англаш, тушуниб етиш. Интуиция – кутилмаганда бевосита олинган билим. Инсон билими</w:t>
      </w:r>
      <w:r w:rsidRPr="002638B2">
        <w:rPr>
          <w:rFonts w:ascii="Arial" w:eastAsia="Times New Roman" w:hAnsi="Arial" w:cs="Arial"/>
          <w:sz w:val="28"/>
          <w:szCs w:val="28"/>
          <w:lang w:val="uz-Cyrl-UZ" w:eastAsia="ru-RU"/>
        </w:rPr>
        <w:t>нинг</w:t>
      </w:r>
      <w:r w:rsidRPr="002638B2">
        <w:rPr>
          <w:rFonts w:ascii="Arial" w:eastAsia="Times New Roman" w:hAnsi="Arial" w:cs="Arial"/>
          <w:sz w:val="28"/>
          <w:szCs w:val="28"/>
          <w:lang w:eastAsia="ru-RU"/>
        </w:rPr>
        <w:t xml:space="preserve"> жадал суръатларда ривожланиши ижод қилишни ўрганиш вазифасини қўяди. Ижодий фаолият ҳамда таълим методларини ўрганиш ҳақидаги фан эвристика деб аталади. Илмий давралардаги суҳбатлар, фикрлар алмашинуви, мунозаралар, муаммоли вазиятлар таҳ</w:t>
      </w:r>
      <w:r w:rsidRPr="002638B2">
        <w:rPr>
          <w:rFonts w:ascii="Arial" w:eastAsia="Times New Roman" w:hAnsi="Arial" w:cs="Arial"/>
          <w:sz w:val="28"/>
          <w:szCs w:val="28"/>
          <w:lang w:val="uz-Cyrl-UZ" w:eastAsia="ru-RU"/>
        </w:rPr>
        <w:t>л</w:t>
      </w:r>
      <w:r w:rsidRPr="002638B2">
        <w:rPr>
          <w:rFonts w:ascii="Arial" w:eastAsia="Times New Roman" w:hAnsi="Arial" w:cs="Arial"/>
          <w:sz w:val="28"/>
          <w:szCs w:val="28"/>
          <w:lang w:eastAsia="ru-RU"/>
        </w:rPr>
        <w:t xml:space="preserve">или – шахснинг маънавий, ижодий қобилияти ривожланишига кўмаклашади. Интуиция ва ижодни формал мантиқ воситалари ёрдамида тавсифлаш мумкин эмас, бироқ эвристик методлар орқали субъектнинг истеъдоди, хотираси, зеҳни, тасаввурини сафарбар этишни талаб қилувчи янгилик устида </w:t>
      </w:r>
      <w:r w:rsidRPr="002638B2">
        <w:rPr>
          <w:rFonts w:ascii="Arial" w:eastAsia="Times New Roman" w:hAnsi="Arial" w:cs="Arial"/>
          <w:sz w:val="28"/>
          <w:szCs w:val="28"/>
          <w:lang w:eastAsia="ru-RU"/>
        </w:rPr>
        <w:lastRenderedPageBreak/>
        <w:t xml:space="preserve">изланишлар олиб борилади. Индуктив тафаккур – ҳодисаларнинг бир қисмини ўрганиш орқали олинган билимни ҳодисаларнинг бутун туркумига нисбатан татбиқ этиш эвристик усул ҳисобланади. Ўхшашлик бўйича тафаккур ҳам эвристик мушоҳада юритишнинг ҳақиқатга эришишни кафолатламайдиган, бироқ оддий фараз ҳам ҳисобланмайдиган усулидир. Математик моделлаштириш ҳам эвристик усул ҳисобланади. Фаннинг барча </w:t>
      </w:r>
      <w:r w:rsidRPr="002638B2">
        <w:rPr>
          <w:rFonts w:ascii="Arial" w:eastAsia="Times New Roman" w:hAnsi="Arial" w:cs="Arial"/>
          <w:sz w:val="28"/>
          <w:szCs w:val="28"/>
          <w:lang w:val="uz-Cyrl-UZ" w:eastAsia="ru-RU"/>
        </w:rPr>
        <w:t>тамойил</w:t>
      </w:r>
      <w:r w:rsidRPr="002638B2">
        <w:rPr>
          <w:rFonts w:ascii="Arial" w:eastAsia="Times New Roman" w:hAnsi="Arial" w:cs="Arial"/>
          <w:sz w:val="28"/>
          <w:szCs w:val="28"/>
          <w:lang w:eastAsia="ru-RU"/>
        </w:rPr>
        <w:t xml:space="preserve">лари эвристик мазмунга эга. Масалан, физикада мувофиқлик принципидан фойдаланилади: эски ва янги назария ўртасида мувофиқлик бўлиши керак, янги назариянинг математик аппарати маълум даражада эски назарияга мос келиши лозим. Фалсафа эвристик хусусиятга эга, шу сабабли юксак чўққиларни эгаллаш интуиция ва ижодни англаб етишнинг таъсирчан воситаларидан бири ҳисобланади. </w:t>
      </w:r>
    </w:p>
    <w:p w:rsidR="00223608" w:rsidRPr="002638B2" w:rsidRDefault="00223608" w:rsidP="001E0A69">
      <w:pPr>
        <w:tabs>
          <w:tab w:val="left" w:pos="0"/>
        </w:tabs>
        <w:spacing w:after="0" w:line="276" w:lineRule="auto"/>
        <w:ind w:firstLine="567"/>
        <w:jc w:val="both"/>
        <w:rPr>
          <w:rFonts w:ascii="Arial" w:eastAsia="Times New Roman" w:hAnsi="Arial" w:cs="Arial"/>
          <w:color w:val="000000"/>
          <w:sz w:val="28"/>
          <w:szCs w:val="28"/>
          <w:lang w:val="uz-Cyrl-UZ" w:eastAsia="ru-RU"/>
        </w:rPr>
      </w:pPr>
      <w:r w:rsidRPr="002638B2">
        <w:rPr>
          <w:rFonts w:ascii="Arial" w:eastAsia="Times New Roman" w:hAnsi="Arial" w:cs="Arial"/>
          <w:b/>
          <w:color w:val="000000"/>
          <w:sz w:val="28"/>
          <w:szCs w:val="28"/>
          <w:lang w:val="uz-Cyrl-UZ" w:eastAsia="ru-RU"/>
        </w:rPr>
        <w:t>Хулосалар.</w:t>
      </w:r>
      <w:r w:rsidRPr="002638B2">
        <w:rPr>
          <w:rFonts w:ascii="Arial" w:eastAsia="Times New Roman" w:hAnsi="Arial" w:cs="Arial"/>
          <w:color w:val="000000"/>
          <w:sz w:val="28"/>
          <w:szCs w:val="28"/>
          <w:lang w:val="uz-Cyrl-UZ" w:eastAsia="ru-RU"/>
        </w:rPr>
        <w:t xml:space="preserve"> Илмий-тадқиқот фаолиятининг намоён бўлиш шакллари юзасидан қуйидагича илмий-назарий хулосаларга келиш мумкин:</w:t>
      </w:r>
      <w:r w:rsidR="001E0A69">
        <w:rPr>
          <w:rFonts w:ascii="Arial" w:eastAsia="Times New Roman" w:hAnsi="Arial" w:cs="Arial"/>
          <w:color w:val="000000"/>
          <w:sz w:val="28"/>
          <w:szCs w:val="28"/>
          <w:lang w:val="uz-Cyrl-UZ" w:eastAsia="ru-RU"/>
        </w:rPr>
        <w:t xml:space="preserve"> </w:t>
      </w:r>
      <w:r w:rsidRPr="002638B2">
        <w:rPr>
          <w:rFonts w:ascii="Arial" w:eastAsia="Times New Roman" w:hAnsi="Arial" w:cs="Arial"/>
          <w:color w:val="000000"/>
          <w:sz w:val="28"/>
          <w:szCs w:val="28"/>
          <w:lang w:val="uz-Cyrl-UZ" w:eastAsia="ru-RU"/>
        </w:rPr>
        <w:t>илмий тадқиқотнинг мақсади тириклик қонунларини, воқелик жараёнлари ва ҳодисаларининг ўзгариши, ривожланиши, вужудга келиши ва йўқолишини кузатиш, кашф этиш, тушунтириш ва башорат қилишдангина иборат эмас. Унинг дастлабки асоси ва мавжудлик шарти ўзликни  англашдир. Инсоннинг ҳар бир янги кашфиёти унинг ўз-ўзини билишга бўлган уринишининг, интилишининг натижаси бўлиб келган. Ҳаттоки инсоннинг ўз-ўзини англаш йўлида кашф қилган водород бомбаси ҳам унинг ўзига баробар бўлган кашфиёт бўла олмади. Ўзликни англаш кашфиёти инсон кашф қилиши мумкин бўлган кашфиётларнинг ичида энг буюги, энг олийсидир. Зеро, фан учун фан, кашфиёт учун кашфиёт қилинмайди. Буларнинг бари жамият учун, одамнинг илмий салоҳиятини янада ошириш учун хизмат қилади.</w:t>
      </w:r>
    </w:p>
    <w:p w:rsidR="00223608" w:rsidRPr="002638B2" w:rsidRDefault="00223608" w:rsidP="001E0A69">
      <w:pPr>
        <w:tabs>
          <w:tab w:val="left" w:pos="0"/>
        </w:tabs>
        <w:spacing w:after="0" w:line="276" w:lineRule="auto"/>
        <w:ind w:firstLine="567"/>
        <w:jc w:val="both"/>
        <w:rPr>
          <w:rFonts w:ascii="Arial" w:eastAsia="Times New Roman" w:hAnsi="Arial" w:cs="Arial"/>
          <w:sz w:val="28"/>
          <w:szCs w:val="28"/>
          <w:lang w:val="uz-Cyrl-UZ" w:eastAsia="ru-RU"/>
        </w:rPr>
      </w:pPr>
      <w:r w:rsidRPr="002638B2">
        <w:rPr>
          <w:rFonts w:ascii="Arial" w:eastAsia="Times New Roman" w:hAnsi="Arial" w:cs="Arial"/>
          <w:sz w:val="28"/>
          <w:szCs w:val="28"/>
          <w:lang w:val="uz-Cyrl-UZ" w:eastAsia="ru-RU"/>
        </w:rPr>
        <w:t xml:space="preserve">Илмий-тадқиқот инсон назарий ва амалий фаолияти негизида юзага келади, у табиат, жамият ва инсон онгининг мураккаб ҳодисаларни тўғри, объектив талқин этишга, фаннинг эвристик асосларини очишга имкон беради. </w:t>
      </w:r>
    </w:p>
    <w:p w:rsidR="00223608" w:rsidRPr="00223608" w:rsidRDefault="00223608" w:rsidP="00223608">
      <w:pPr>
        <w:tabs>
          <w:tab w:val="left" w:pos="0"/>
        </w:tabs>
        <w:spacing w:after="0" w:line="240" w:lineRule="auto"/>
        <w:ind w:firstLine="180"/>
        <w:jc w:val="center"/>
        <w:rPr>
          <w:rFonts w:ascii="Times New Roman" w:eastAsia="Times New Roman" w:hAnsi="Times New Roman" w:cs="Times New Roman"/>
          <w:b/>
          <w:sz w:val="28"/>
          <w:szCs w:val="28"/>
          <w:lang w:val="uz-Cyrl-UZ" w:eastAsia="ru-RU"/>
        </w:rPr>
      </w:pPr>
    </w:p>
    <w:p w:rsidR="00596F86" w:rsidRPr="00A854FF" w:rsidRDefault="00596F86" w:rsidP="00596F86">
      <w:pPr>
        <w:tabs>
          <w:tab w:val="left" w:pos="567"/>
        </w:tabs>
        <w:spacing w:after="0" w:line="276" w:lineRule="auto"/>
        <w:ind w:left="360"/>
        <w:contextualSpacing/>
        <w:jc w:val="center"/>
        <w:rPr>
          <w:rFonts w:ascii="Arial" w:eastAsia="Times New Roman" w:hAnsi="Arial" w:cs="Arial"/>
          <w:b/>
          <w:sz w:val="28"/>
          <w:szCs w:val="24"/>
          <w:lang w:val="uz-Cyrl-UZ" w:eastAsia="ru-RU"/>
        </w:rPr>
      </w:pPr>
      <w:r w:rsidRPr="00A854FF">
        <w:rPr>
          <w:rFonts w:ascii="Arial" w:eastAsia="Times New Roman" w:hAnsi="Arial" w:cs="Arial"/>
          <w:b/>
          <w:sz w:val="28"/>
          <w:szCs w:val="24"/>
          <w:lang w:val="uz-Cyrl-UZ" w:eastAsia="ru-RU"/>
        </w:rPr>
        <w:t>АДАБИЁТЛАР:</w:t>
      </w:r>
    </w:p>
    <w:p w:rsidR="00596F86" w:rsidRPr="00A854FF" w:rsidRDefault="00596F86" w:rsidP="00596F86">
      <w:pPr>
        <w:spacing w:after="0" w:line="276" w:lineRule="auto"/>
        <w:ind w:left="360" w:hanging="360"/>
        <w:contextualSpacing/>
        <w:jc w:val="center"/>
        <w:rPr>
          <w:rFonts w:ascii="Arial" w:eastAsia="Times New Roman" w:hAnsi="Arial" w:cs="Arial"/>
          <w:b/>
          <w:sz w:val="28"/>
          <w:szCs w:val="24"/>
          <w:lang w:val="uz-Cyrl-UZ" w:eastAsia="ru-RU"/>
        </w:rPr>
      </w:pP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lang w:val="uz-Cyrl-UZ"/>
        </w:rPr>
      </w:pPr>
      <w:r w:rsidRPr="00A854FF">
        <w:rPr>
          <w:rFonts w:ascii="Arial" w:eastAsia="Times New Roman" w:hAnsi="Arial" w:cs="Arial"/>
          <w:sz w:val="28"/>
          <w:szCs w:val="24"/>
          <w:lang w:val="uz-Cyrl-UZ"/>
        </w:rPr>
        <w:t xml:space="preserve">Мирзиёев Ш.М. Қонун устуворлиги ва инсон манфаатларини таъминлаш- юрт тараққиёти ва халқ фаровонлигининг гарови.  -Т.: Ўзбекистон, 2017. </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lang w:val="uz-Cyrl-UZ"/>
        </w:rPr>
      </w:pPr>
      <w:r w:rsidRPr="00A854FF">
        <w:rPr>
          <w:rFonts w:ascii="Arial" w:eastAsia="Times New Roman" w:hAnsi="Arial" w:cs="Arial"/>
          <w:sz w:val="28"/>
          <w:szCs w:val="24"/>
          <w:lang w:val="uz-Cyrl-UZ"/>
        </w:rPr>
        <w:t xml:space="preserve">Давронов З.Д.  Илмий тадқиқот методологияси. -Т.: ТМИ, 2006. </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lang w:val="uz-Cyrl-UZ"/>
        </w:rPr>
      </w:pPr>
      <w:r w:rsidRPr="00A854FF">
        <w:rPr>
          <w:rFonts w:ascii="Arial" w:eastAsia="Times New Roman" w:hAnsi="Arial" w:cs="Arial"/>
          <w:sz w:val="28"/>
          <w:szCs w:val="24"/>
          <w:lang w:val="uz-Cyrl-UZ"/>
        </w:rPr>
        <w:t xml:space="preserve">Соифназаров И.С.,  Никитченко Г.В. Илмий ижод методологияси. -Т.: ТИУ, 2004. </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rPr>
      </w:pPr>
      <w:r w:rsidRPr="00A854FF">
        <w:rPr>
          <w:rFonts w:ascii="Arial" w:eastAsia="Times New Roman" w:hAnsi="Arial" w:cs="Arial"/>
          <w:sz w:val="28"/>
          <w:szCs w:val="24"/>
          <w:lang w:val="uz-Cyrl-UZ"/>
        </w:rPr>
        <w:lastRenderedPageBreak/>
        <w:t>Шермухамедова Н.А. Илмий тадқиқот методология</w:t>
      </w:r>
      <w:r w:rsidRPr="00A854FF">
        <w:rPr>
          <w:rFonts w:ascii="Arial" w:eastAsia="Times New Roman" w:hAnsi="Arial" w:cs="Arial"/>
          <w:sz w:val="28"/>
          <w:szCs w:val="24"/>
        </w:rPr>
        <w:t>си.- Т.: Ахборот технологиялари. 2014</w:t>
      </w:r>
      <w:r w:rsidRPr="00A854FF">
        <w:rPr>
          <w:rFonts w:ascii="Arial" w:eastAsia="Times New Roman" w:hAnsi="Arial" w:cs="Arial"/>
          <w:sz w:val="28"/>
          <w:szCs w:val="24"/>
          <w:lang w:val="uz-Cyrl-UZ"/>
        </w:rPr>
        <w:t>.</w:t>
      </w:r>
    </w:p>
    <w:p w:rsidR="00596F86" w:rsidRPr="00A854FF" w:rsidRDefault="00596F86" w:rsidP="00596F86">
      <w:pPr>
        <w:pStyle w:val="a6"/>
        <w:numPr>
          <w:ilvl w:val="0"/>
          <w:numId w:val="2"/>
        </w:numPr>
        <w:spacing w:after="0" w:line="240" w:lineRule="auto"/>
        <w:jc w:val="both"/>
        <w:rPr>
          <w:rFonts w:ascii="Arial" w:eastAsia="Times New Roman" w:hAnsi="Arial" w:cs="Arial"/>
          <w:sz w:val="28"/>
          <w:szCs w:val="24"/>
        </w:rPr>
      </w:pPr>
      <w:r w:rsidRPr="00A854FF">
        <w:rPr>
          <w:rFonts w:ascii="Arial" w:eastAsia="Times New Roman" w:hAnsi="Arial" w:cs="Arial"/>
          <w:sz w:val="28"/>
          <w:szCs w:val="24"/>
        </w:rPr>
        <w:t>2017 – 2021 йилларда Ўзбекистон Республикасини ривожлантиришнинг бешта устувор йўналиши бўйича ҳаракатлар стратегияси. Ўзбекистон Республикаси Президентининг 2017 йил 7 февралдаги ПФ-4947-сонли Фармонига 1-илова // http://www.lex.uz</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rPr>
      </w:pPr>
      <w:r w:rsidRPr="00A854FF">
        <w:rPr>
          <w:rFonts w:ascii="Arial" w:eastAsia="Times New Roman" w:hAnsi="Arial" w:cs="Arial"/>
          <w:sz w:val="28"/>
          <w:szCs w:val="24"/>
        </w:rPr>
        <w:t xml:space="preserve">  Кобляков А.А. Основы общей теории творчества (синергетический аспект) // Сб.: “ Философия науки”. М. 2002. Вып. 8. С. 96-107.</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rPr>
      </w:pPr>
      <w:r w:rsidRPr="00A854FF">
        <w:rPr>
          <w:rFonts w:ascii="Arial" w:eastAsia="Times New Roman" w:hAnsi="Arial" w:cs="Arial"/>
          <w:sz w:val="28"/>
          <w:szCs w:val="24"/>
        </w:rPr>
        <w:t xml:space="preserve">  Лейбниц Г.В. Сочинения в 4-х т. Т. 1. М, 1982. С. 16. </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rPr>
      </w:pPr>
      <w:r w:rsidRPr="00A854FF">
        <w:rPr>
          <w:rFonts w:ascii="Arial" w:eastAsia="Times New Roman" w:hAnsi="Arial" w:cs="Arial"/>
          <w:sz w:val="28"/>
          <w:szCs w:val="24"/>
        </w:rPr>
        <w:t>Сауров С. Ю. Научная гипотеза в контексте методологии естествознания / С. Ю. Сауров. - Киров : ВятГГУ, 2009 (Киров : Старая Вятка). - 166 с.</w:t>
      </w:r>
    </w:p>
    <w:p w:rsidR="00596F86" w:rsidRPr="00A854FF" w:rsidRDefault="00596F86" w:rsidP="00596F86">
      <w:pPr>
        <w:widowControl w:val="0"/>
        <w:numPr>
          <w:ilvl w:val="0"/>
          <w:numId w:val="2"/>
        </w:numPr>
        <w:tabs>
          <w:tab w:val="left" w:pos="426"/>
        </w:tabs>
        <w:spacing w:after="0" w:line="240" w:lineRule="auto"/>
        <w:jc w:val="both"/>
        <w:rPr>
          <w:rFonts w:ascii="Arial" w:eastAsia="Times New Roman" w:hAnsi="Arial" w:cs="Arial"/>
          <w:sz w:val="28"/>
          <w:szCs w:val="24"/>
        </w:rPr>
      </w:pPr>
      <w:r w:rsidRPr="00A854FF">
        <w:rPr>
          <w:rFonts w:ascii="Arial" w:eastAsia="Times New Roman" w:hAnsi="Arial" w:cs="Arial"/>
          <w:sz w:val="28"/>
          <w:szCs w:val="24"/>
        </w:rPr>
        <w:t>Тибодо Л. Врожденная интуиция. - М.: Рипол Классик, 2006. - 320 с.</w:t>
      </w:r>
    </w:p>
    <w:p w:rsidR="001278D8" w:rsidRDefault="001278D8" w:rsidP="00223608">
      <w:pPr>
        <w:tabs>
          <w:tab w:val="left" w:pos="1035"/>
        </w:tabs>
        <w:spacing w:after="200" w:line="276" w:lineRule="auto"/>
      </w:pPr>
    </w:p>
    <w:sectPr w:rsidR="001278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6722" w:rsidRDefault="00E66722" w:rsidP="00223608">
      <w:pPr>
        <w:spacing w:after="0" w:line="240" w:lineRule="auto"/>
      </w:pPr>
      <w:r>
        <w:separator/>
      </w:r>
    </w:p>
  </w:endnote>
  <w:endnote w:type="continuationSeparator" w:id="0">
    <w:p w:rsidR="00E66722" w:rsidRDefault="00E66722" w:rsidP="00223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6722" w:rsidRDefault="00E66722" w:rsidP="00223608">
      <w:pPr>
        <w:spacing w:after="0" w:line="240" w:lineRule="auto"/>
      </w:pPr>
      <w:r>
        <w:separator/>
      </w:r>
    </w:p>
  </w:footnote>
  <w:footnote w:type="continuationSeparator" w:id="0">
    <w:p w:rsidR="00E66722" w:rsidRDefault="00E66722" w:rsidP="00223608">
      <w:pPr>
        <w:spacing w:after="0" w:line="240" w:lineRule="auto"/>
      </w:pPr>
      <w:r>
        <w:continuationSeparator/>
      </w:r>
    </w:p>
  </w:footnote>
  <w:footnote w:id="1">
    <w:p w:rsidR="00223608" w:rsidRPr="00A854FF" w:rsidRDefault="00223608" w:rsidP="00223608">
      <w:pPr>
        <w:pStyle w:val="a3"/>
        <w:jc w:val="both"/>
        <w:rPr>
          <w:rFonts w:ascii="Arial" w:hAnsi="Arial" w:cs="Arial"/>
        </w:rPr>
      </w:pPr>
      <w:r w:rsidRPr="00A854FF">
        <w:rPr>
          <w:rStyle w:val="a5"/>
          <w:rFonts w:ascii="Arial" w:hAnsi="Arial" w:cs="Arial"/>
        </w:rPr>
        <w:footnoteRef/>
      </w:r>
      <w:r w:rsidRPr="00A854FF">
        <w:rPr>
          <w:rFonts w:ascii="Arial" w:hAnsi="Arial" w:cs="Arial"/>
        </w:rPr>
        <w:t xml:space="preserve"> </w:t>
      </w:r>
      <w:r w:rsidRPr="00A854FF">
        <w:rPr>
          <w:rFonts w:ascii="Arial" w:hAnsi="Arial" w:cs="Arial"/>
          <w:lang w:val="uz-Cyrl-UZ"/>
        </w:rPr>
        <w:t>Сауров С. Ю. Научная гипотеза в контексте методологии естествознания / С. Ю. Сауров. - Киров : ВятГГУ, 2009 (Киров : Старая Вятка). - 166 с.</w:t>
      </w:r>
      <w:r w:rsidRPr="00A854FF">
        <w:rPr>
          <w:rFonts w:ascii="Arial" w:hAnsi="Arial" w:cs="Arial"/>
        </w:rPr>
        <w:t xml:space="preserve"> </w:t>
      </w:r>
    </w:p>
  </w:footnote>
  <w:footnote w:id="2">
    <w:p w:rsidR="00223608" w:rsidRPr="00A854FF" w:rsidRDefault="00223608" w:rsidP="00223608">
      <w:pPr>
        <w:pStyle w:val="a3"/>
        <w:jc w:val="both"/>
        <w:rPr>
          <w:rFonts w:ascii="Arial" w:hAnsi="Arial" w:cs="Arial"/>
          <w:lang w:val="uz-Cyrl-UZ"/>
        </w:rPr>
      </w:pPr>
      <w:r w:rsidRPr="00A854FF">
        <w:rPr>
          <w:rStyle w:val="a5"/>
          <w:rFonts w:ascii="Arial" w:hAnsi="Arial" w:cs="Arial"/>
        </w:rPr>
        <w:footnoteRef/>
      </w:r>
      <w:r w:rsidRPr="00A854FF">
        <w:rPr>
          <w:rFonts w:ascii="Arial" w:hAnsi="Arial" w:cs="Arial"/>
        </w:rPr>
        <w:t xml:space="preserve"> </w:t>
      </w:r>
      <w:r w:rsidRPr="00A854FF">
        <w:rPr>
          <w:rFonts w:ascii="Arial" w:hAnsi="Arial" w:cs="Arial"/>
          <w:lang w:val="uz-Cyrl-UZ"/>
        </w:rPr>
        <w:t xml:space="preserve">Қаранг: </w:t>
      </w:r>
      <w:r w:rsidRPr="00A854FF">
        <w:rPr>
          <w:rFonts w:ascii="Arial" w:hAnsi="Arial" w:cs="Arial"/>
        </w:rPr>
        <w:t xml:space="preserve">Саифназаров И., Никитченко Г.В., </w:t>
      </w:r>
      <w:r w:rsidRPr="00A854FF">
        <w:rPr>
          <w:rFonts w:ascii="Arial" w:hAnsi="Arial" w:cs="Arial"/>
          <w:lang w:val="uz-Cyrl-UZ"/>
        </w:rPr>
        <w:t>Қосимов Б.У.</w:t>
      </w:r>
      <w:r w:rsidRPr="00A854FF">
        <w:rPr>
          <w:rFonts w:ascii="Arial" w:hAnsi="Arial" w:cs="Arial"/>
        </w:rPr>
        <w:t xml:space="preserve">  Илмий ижод методологияси.</w:t>
      </w:r>
      <w:r w:rsidRPr="00A854FF">
        <w:rPr>
          <w:rFonts w:ascii="Arial" w:hAnsi="Arial" w:cs="Arial"/>
          <w:lang w:val="uz-Cyrl-UZ"/>
        </w:rPr>
        <w:t xml:space="preserve"> Ўқув қўлланмаси – Тошкент: Янги аср авлоди, 2004.</w:t>
      </w:r>
    </w:p>
  </w:footnote>
  <w:footnote w:id="3">
    <w:p w:rsidR="00223608" w:rsidRPr="00A854FF" w:rsidRDefault="00223608" w:rsidP="00223608">
      <w:pPr>
        <w:pStyle w:val="a3"/>
        <w:jc w:val="both"/>
        <w:rPr>
          <w:rFonts w:ascii="Arial" w:hAnsi="Arial" w:cs="Arial"/>
        </w:rPr>
      </w:pPr>
      <w:r w:rsidRPr="00A854FF">
        <w:rPr>
          <w:rStyle w:val="a5"/>
          <w:rFonts w:ascii="Arial" w:hAnsi="Arial" w:cs="Arial"/>
        </w:rPr>
        <w:footnoteRef/>
      </w:r>
      <w:r w:rsidRPr="00A854FF">
        <w:rPr>
          <w:rFonts w:ascii="Arial" w:hAnsi="Arial" w:cs="Arial"/>
          <w:lang w:val="uz-Cyrl-UZ"/>
        </w:rPr>
        <w:t xml:space="preserve"> Қаранг: </w:t>
      </w:r>
      <w:r w:rsidRPr="00A854FF">
        <w:rPr>
          <w:rFonts w:ascii="Arial" w:hAnsi="Arial" w:cs="Arial"/>
        </w:rPr>
        <w:t xml:space="preserve">Лейбниц Г.В. Сочинения в 4-х т. Т. </w:t>
      </w:r>
      <w:smartTag w:uri="urn:schemas-microsoft-com:office:smarttags" w:element="metricconverter">
        <w:smartTagPr>
          <w:attr w:name="ProductID" w:val="1. М"/>
        </w:smartTagPr>
        <w:r w:rsidRPr="00A854FF">
          <w:rPr>
            <w:rFonts w:ascii="Arial" w:hAnsi="Arial" w:cs="Arial"/>
          </w:rPr>
          <w:t>1. М</w:t>
        </w:r>
      </w:smartTag>
      <w:r w:rsidRPr="00A854FF">
        <w:rPr>
          <w:rFonts w:ascii="Arial" w:hAnsi="Arial" w:cs="Arial"/>
        </w:rPr>
        <w:t>, 1982. С. 16</w:t>
      </w:r>
      <w:r w:rsidRPr="00A854FF">
        <w:rPr>
          <w:rFonts w:ascii="Arial" w:hAnsi="Arial" w:cs="Arial"/>
          <w:lang w:val="uz-Cyrl-UZ"/>
        </w:rPr>
        <w:t>.</w:t>
      </w:r>
      <w:r w:rsidRPr="00A854FF">
        <w:rPr>
          <w:rFonts w:ascii="Arial" w:hAnsi="Arial" w:cs="Arial"/>
        </w:rPr>
        <w:t xml:space="preserve"> </w:t>
      </w:r>
    </w:p>
  </w:footnote>
  <w:footnote w:id="4">
    <w:p w:rsidR="00223608" w:rsidRPr="00A854FF" w:rsidRDefault="00223608" w:rsidP="00223608">
      <w:pPr>
        <w:shd w:val="clear" w:color="auto" w:fill="FFFFFF"/>
        <w:tabs>
          <w:tab w:val="num" w:pos="567"/>
          <w:tab w:val="num" w:pos="709"/>
        </w:tabs>
        <w:spacing w:after="0" w:line="240" w:lineRule="auto"/>
        <w:jc w:val="both"/>
        <w:rPr>
          <w:rFonts w:ascii="Arial" w:hAnsi="Arial" w:cs="Arial"/>
          <w:sz w:val="20"/>
          <w:szCs w:val="20"/>
        </w:rPr>
      </w:pPr>
      <w:r w:rsidRPr="00A854FF">
        <w:rPr>
          <w:rStyle w:val="a5"/>
          <w:rFonts w:ascii="Arial" w:hAnsi="Arial" w:cs="Arial"/>
          <w:sz w:val="20"/>
          <w:szCs w:val="20"/>
        </w:rPr>
        <w:footnoteRef/>
      </w:r>
      <w:r w:rsidRPr="00A854FF">
        <w:rPr>
          <w:rFonts w:ascii="Arial" w:hAnsi="Arial" w:cs="Arial"/>
          <w:sz w:val="20"/>
          <w:szCs w:val="20"/>
        </w:rPr>
        <w:t xml:space="preserve"> Поппер К.Р. Логика и рост научного знания. М., 1983.</w:t>
      </w:r>
      <w:r w:rsidRPr="00A854FF">
        <w:rPr>
          <w:rFonts w:ascii="Arial" w:hAnsi="Arial" w:cs="Arial"/>
          <w:sz w:val="20"/>
          <w:szCs w:val="20"/>
          <w:lang w:val="uz-Cyrl-UZ"/>
        </w:rPr>
        <w:t xml:space="preserve"> 25 с.</w:t>
      </w:r>
    </w:p>
  </w:footnote>
  <w:footnote w:id="5">
    <w:p w:rsidR="00223608" w:rsidRPr="00A854FF" w:rsidRDefault="00223608" w:rsidP="00223608">
      <w:pPr>
        <w:pStyle w:val="a3"/>
        <w:jc w:val="both"/>
        <w:rPr>
          <w:rFonts w:ascii="Arial" w:hAnsi="Arial" w:cs="Arial"/>
        </w:rPr>
      </w:pPr>
      <w:r w:rsidRPr="00A854FF">
        <w:rPr>
          <w:rStyle w:val="a5"/>
          <w:rFonts w:ascii="Arial" w:hAnsi="Arial" w:cs="Arial"/>
        </w:rPr>
        <w:footnoteRef/>
      </w:r>
      <w:r w:rsidRPr="00A854FF">
        <w:rPr>
          <w:rFonts w:ascii="Arial" w:hAnsi="Arial" w:cs="Arial"/>
        </w:rPr>
        <w:t xml:space="preserve"> Тибодо Л. Врожденная интуиция. - М.: Рипол Классик, 2006. - 320 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FC6C6D"/>
    <w:multiLevelType w:val="hybridMultilevel"/>
    <w:tmpl w:val="B526F8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39164410"/>
    <w:multiLevelType w:val="hybridMultilevel"/>
    <w:tmpl w:val="30E425BA"/>
    <w:lvl w:ilvl="0" w:tplc="1020FFC8">
      <w:start w:val="1"/>
      <w:numFmt w:val="decimal"/>
      <w:lvlText w:val="%1."/>
      <w:lvlJc w:val="left"/>
      <w:pPr>
        <w:ind w:left="3600" w:hanging="360"/>
      </w:pPr>
      <w:rPr>
        <w:rFonts w:hint="default"/>
      </w:rPr>
    </w:lvl>
    <w:lvl w:ilvl="1" w:tplc="04190019" w:tentative="1">
      <w:start w:val="1"/>
      <w:numFmt w:val="lowerLetter"/>
      <w:lvlText w:val="%2."/>
      <w:lvlJc w:val="left"/>
      <w:pPr>
        <w:ind w:left="4320" w:hanging="360"/>
      </w:pPr>
    </w:lvl>
    <w:lvl w:ilvl="2" w:tplc="0419001B" w:tentative="1">
      <w:start w:val="1"/>
      <w:numFmt w:val="lowerRoman"/>
      <w:lvlText w:val="%3."/>
      <w:lvlJc w:val="right"/>
      <w:pPr>
        <w:ind w:left="5040" w:hanging="180"/>
      </w:pPr>
    </w:lvl>
    <w:lvl w:ilvl="3" w:tplc="0419000F" w:tentative="1">
      <w:start w:val="1"/>
      <w:numFmt w:val="decimal"/>
      <w:lvlText w:val="%4."/>
      <w:lvlJc w:val="left"/>
      <w:pPr>
        <w:ind w:left="5760" w:hanging="360"/>
      </w:pPr>
    </w:lvl>
    <w:lvl w:ilvl="4" w:tplc="04190019" w:tentative="1">
      <w:start w:val="1"/>
      <w:numFmt w:val="lowerLetter"/>
      <w:lvlText w:val="%5."/>
      <w:lvlJc w:val="left"/>
      <w:pPr>
        <w:ind w:left="6480" w:hanging="360"/>
      </w:pPr>
    </w:lvl>
    <w:lvl w:ilvl="5" w:tplc="0419001B" w:tentative="1">
      <w:start w:val="1"/>
      <w:numFmt w:val="lowerRoman"/>
      <w:lvlText w:val="%6."/>
      <w:lvlJc w:val="right"/>
      <w:pPr>
        <w:ind w:left="7200" w:hanging="180"/>
      </w:pPr>
    </w:lvl>
    <w:lvl w:ilvl="6" w:tplc="0419000F" w:tentative="1">
      <w:start w:val="1"/>
      <w:numFmt w:val="decimal"/>
      <w:lvlText w:val="%7."/>
      <w:lvlJc w:val="left"/>
      <w:pPr>
        <w:ind w:left="7920" w:hanging="360"/>
      </w:pPr>
    </w:lvl>
    <w:lvl w:ilvl="7" w:tplc="04190019" w:tentative="1">
      <w:start w:val="1"/>
      <w:numFmt w:val="lowerLetter"/>
      <w:lvlText w:val="%8."/>
      <w:lvlJc w:val="left"/>
      <w:pPr>
        <w:ind w:left="8640" w:hanging="360"/>
      </w:pPr>
    </w:lvl>
    <w:lvl w:ilvl="8" w:tplc="0419001B" w:tentative="1">
      <w:start w:val="1"/>
      <w:numFmt w:val="lowerRoman"/>
      <w:lvlText w:val="%9."/>
      <w:lvlJc w:val="right"/>
      <w:pPr>
        <w:ind w:left="9360" w:hanging="180"/>
      </w:pPr>
    </w:lvl>
  </w:abstractNum>
  <w:abstractNum w:abstractNumId="2" w15:restartNumberingAfterBreak="0">
    <w:nsid w:val="60D811DB"/>
    <w:multiLevelType w:val="hybridMultilevel"/>
    <w:tmpl w:val="FC4C8D8E"/>
    <w:lvl w:ilvl="0" w:tplc="92E4DB56">
      <w:start w:val="1"/>
      <w:numFmt w:val="decimal"/>
      <w:lvlText w:val="%1."/>
      <w:lvlJc w:val="left"/>
      <w:pPr>
        <w:ind w:left="540" w:hanging="360"/>
      </w:pPr>
      <w:rPr>
        <w:rFonts w:hint="default"/>
        <w:b/>
        <w:i/>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 w15:restartNumberingAfterBreak="0">
    <w:nsid w:val="6F8C216E"/>
    <w:multiLevelType w:val="hybridMultilevel"/>
    <w:tmpl w:val="8132D15E"/>
    <w:lvl w:ilvl="0" w:tplc="0D9A1E94">
      <w:start w:val="3"/>
      <w:numFmt w:val="decimal"/>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608"/>
    <w:rsid w:val="001278D8"/>
    <w:rsid w:val="001725EC"/>
    <w:rsid w:val="001E0A69"/>
    <w:rsid w:val="00223608"/>
    <w:rsid w:val="002638B2"/>
    <w:rsid w:val="003A253E"/>
    <w:rsid w:val="004677A6"/>
    <w:rsid w:val="00596F86"/>
    <w:rsid w:val="007507E6"/>
    <w:rsid w:val="007B2799"/>
    <w:rsid w:val="008C07BF"/>
    <w:rsid w:val="008E4553"/>
    <w:rsid w:val="00A854FF"/>
    <w:rsid w:val="00AD29D6"/>
    <w:rsid w:val="00C31FAC"/>
    <w:rsid w:val="00C574C4"/>
    <w:rsid w:val="00E66722"/>
    <w:rsid w:val="00F7537C"/>
    <w:rsid w:val="00FF4B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8817F95-1CDB-4459-B562-E69994CF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223608"/>
    <w:pPr>
      <w:spacing w:after="0" w:line="240" w:lineRule="auto"/>
    </w:pPr>
    <w:rPr>
      <w:sz w:val="20"/>
      <w:szCs w:val="20"/>
    </w:rPr>
  </w:style>
  <w:style w:type="character" w:customStyle="1" w:styleId="a4">
    <w:name w:val="Текст сноски Знак"/>
    <w:basedOn w:val="a0"/>
    <w:link w:val="a3"/>
    <w:uiPriority w:val="99"/>
    <w:semiHidden/>
    <w:rsid w:val="00223608"/>
    <w:rPr>
      <w:sz w:val="20"/>
      <w:szCs w:val="20"/>
    </w:rPr>
  </w:style>
  <w:style w:type="character" w:styleId="a5">
    <w:name w:val="footnote reference"/>
    <w:aliases w:val="ftref"/>
    <w:rsid w:val="00223608"/>
    <w:rPr>
      <w:vertAlign w:val="superscript"/>
    </w:rPr>
  </w:style>
  <w:style w:type="paragraph" w:styleId="a6">
    <w:name w:val="List Paragraph"/>
    <w:basedOn w:val="a"/>
    <w:uiPriority w:val="34"/>
    <w:qFormat/>
    <w:rsid w:val="00596F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281</TotalTime>
  <Pages>10</Pages>
  <Words>3087</Words>
  <Characters>17596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10</cp:revision>
  <dcterms:created xsi:type="dcterms:W3CDTF">2020-12-07T07:25:00Z</dcterms:created>
  <dcterms:modified xsi:type="dcterms:W3CDTF">2021-05-08T13:21:00Z</dcterms:modified>
</cp:coreProperties>
</file>