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5BD" w:rsidRPr="00726152" w:rsidRDefault="00AB25BD" w:rsidP="00AB25BD">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AB25BD" w:rsidRPr="00C83E85" w:rsidRDefault="00AB25BD" w:rsidP="00AB25BD">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7</w:t>
      </w:r>
    </w:p>
    <w:p w:rsidR="00AB25BD" w:rsidRDefault="00AB25BD" w:rsidP="00AB25BD">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Early complex societies in Europe </w:t>
      </w:r>
    </w:p>
    <w:p w:rsidR="00AB25BD" w:rsidRDefault="00AB25BD" w:rsidP="00AB25BD">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Jargalan Burentogtokh, Ph.D.</w:t>
      </w:r>
    </w:p>
    <w:p w:rsidR="00AB25BD" w:rsidRDefault="00AB25BD" w:rsidP="00AB25BD">
      <w:pPr>
        <w:spacing w:after="0" w:line="360" w:lineRule="auto"/>
        <w:jc w:val="center"/>
        <w:rPr>
          <w:rFonts w:ascii="Times New Roman" w:hAnsi="Times New Roman" w:cs="Times New Roman"/>
          <w:sz w:val="24"/>
          <w:szCs w:val="24"/>
        </w:rPr>
      </w:pPr>
    </w:p>
    <w:p w:rsidR="00B837EC" w:rsidRDefault="00EC66D0"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When the question of emergenc</w:t>
      </w:r>
      <w:r w:rsidR="00981622">
        <w:rPr>
          <w:rFonts w:ascii="Times New Roman" w:hAnsi="Times New Roman" w:cs="Times New Roman"/>
          <w:sz w:val="24"/>
          <w:szCs w:val="24"/>
        </w:rPr>
        <w:t>e of early complex societies is</w:t>
      </w:r>
      <w:r>
        <w:rPr>
          <w:rFonts w:ascii="Times New Roman" w:hAnsi="Times New Roman" w:cs="Times New Roman"/>
          <w:sz w:val="24"/>
          <w:szCs w:val="24"/>
        </w:rPr>
        <w:t xml:space="preserve"> investigated, Europe provides a very unique perspective.</w:t>
      </w:r>
      <w:r w:rsidR="000F792E">
        <w:rPr>
          <w:rFonts w:ascii="Times New Roman" w:hAnsi="Times New Roman" w:cs="Times New Roman"/>
          <w:sz w:val="24"/>
          <w:szCs w:val="24"/>
        </w:rPr>
        <w:t xml:space="preserve"> So far, we’ve covered the process of formation of state societies in Mesopotamia and Egypt. In both of these cases, social complexity was achiev</w:t>
      </w:r>
      <w:r w:rsidR="009C78ED">
        <w:rPr>
          <w:rFonts w:ascii="Times New Roman" w:hAnsi="Times New Roman" w:cs="Times New Roman"/>
          <w:sz w:val="24"/>
          <w:szCs w:val="24"/>
        </w:rPr>
        <w:t>ed in state societies with established</w:t>
      </w:r>
      <w:r w:rsidR="000F792E">
        <w:rPr>
          <w:rFonts w:ascii="Times New Roman" w:hAnsi="Times New Roman" w:cs="Times New Roman"/>
          <w:sz w:val="24"/>
          <w:szCs w:val="24"/>
        </w:rPr>
        <w:t xml:space="preserve"> institutionalized social </w:t>
      </w:r>
      <w:r w:rsidR="009C78ED">
        <w:rPr>
          <w:rFonts w:ascii="Times New Roman" w:hAnsi="Times New Roman" w:cs="Times New Roman"/>
          <w:sz w:val="24"/>
          <w:szCs w:val="24"/>
        </w:rPr>
        <w:t>hierarchy and economic inequality. The upper social strata’s goal was focused on concentrating and redistributing resources for the purpose of solidifying and cementing their ruling lineage for generations.</w:t>
      </w:r>
    </w:p>
    <w:p w:rsidR="00B837EC" w:rsidRDefault="00B837EC"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main talking points of today’s lecture are going to be:</w:t>
      </w:r>
    </w:p>
    <w:p w:rsidR="00B837EC" w:rsidRDefault="00B837EC" w:rsidP="00B837EC">
      <w:pPr>
        <w:spacing w:after="0" w:line="360" w:lineRule="auto"/>
        <w:ind w:left="900" w:hanging="180"/>
        <w:jc w:val="both"/>
        <w:rPr>
          <w:rFonts w:ascii="Times New Roman" w:hAnsi="Times New Roman" w:cs="Times New Roman"/>
          <w:sz w:val="24"/>
          <w:szCs w:val="24"/>
        </w:rPr>
      </w:pPr>
      <w:r>
        <w:rPr>
          <w:rFonts w:ascii="Times New Roman" w:hAnsi="Times New Roman" w:cs="Times New Roman"/>
          <w:sz w:val="24"/>
          <w:szCs w:val="24"/>
        </w:rPr>
        <w:t>- adoption of agriculture introduced from other areas;</w:t>
      </w:r>
    </w:p>
    <w:p w:rsidR="00B837EC" w:rsidRDefault="00B837EC" w:rsidP="00B837EC">
      <w:pPr>
        <w:spacing w:after="0" w:line="360" w:lineRule="auto"/>
        <w:ind w:left="900" w:hanging="180"/>
        <w:jc w:val="both"/>
        <w:rPr>
          <w:rFonts w:ascii="Times New Roman" w:hAnsi="Times New Roman" w:cs="Times New Roman"/>
          <w:sz w:val="24"/>
          <w:szCs w:val="24"/>
        </w:rPr>
      </w:pPr>
      <w:r>
        <w:rPr>
          <w:rFonts w:ascii="Times New Roman" w:hAnsi="Times New Roman" w:cs="Times New Roman"/>
          <w:sz w:val="24"/>
          <w:szCs w:val="24"/>
        </w:rPr>
        <w:t>- social organization among early societies, special emphasis on horizontal social relationships;</w:t>
      </w:r>
    </w:p>
    <w:p w:rsidR="00B837EC" w:rsidRDefault="00B837EC" w:rsidP="00B837EC">
      <w:pPr>
        <w:spacing w:after="0" w:line="360" w:lineRule="auto"/>
        <w:ind w:left="900" w:hanging="180"/>
        <w:jc w:val="both"/>
        <w:rPr>
          <w:rFonts w:ascii="Times New Roman" w:hAnsi="Times New Roman" w:cs="Times New Roman"/>
          <w:sz w:val="24"/>
          <w:szCs w:val="24"/>
        </w:rPr>
      </w:pPr>
      <w:r>
        <w:rPr>
          <w:rFonts w:ascii="Times New Roman" w:hAnsi="Times New Roman" w:cs="Times New Roman"/>
          <w:sz w:val="24"/>
          <w:szCs w:val="24"/>
        </w:rPr>
        <w:t>- much cultural diversity than scholars thought before;</w:t>
      </w:r>
    </w:p>
    <w:p w:rsidR="00642532" w:rsidRDefault="00B837EC" w:rsidP="00B837EC">
      <w:pPr>
        <w:spacing w:after="0" w:line="360" w:lineRule="auto"/>
        <w:ind w:left="900" w:hanging="180"/>
        <w:jc w:val="both"/>
        <w:rPr>
          <w:rFonts w:ascii="Times New Roman" w:hAnsi="Times New Roman" w:cs="Times New Roman"/>
          <w:sz w:val="24"/>
          <w:szCs w:val="24"/>
        </w:rPr>
      </w:pPr>
      <w:r>
        <w:rPr>
          <w:rFonts w:ascii="Times New Roman" w:hAnsi="Times New Roman" w:cs="Times New Roman"/>
          <w:sz w:val="24"/>
          <w:szCs w:val="24"/>
        </w:rPr>
        <w:t xml:space="preserve">- initial theories of large-scale monumentality; </w:t>
      </w:r>
      <w:r w:rsidR="009C78ED">
        <w:rPr>
          <w:rFonts w:ascii="Times New Roman" w:hAnsi="Times New Roman" w:cs="Times New Roman"/>
          <w:sz w:val="24"/>
          <w:szCs w:val="24"/>
        </w:rPr>
        <w:t xml:space="preserve"> </w:t>
      </w:r>
    </w:p>
    <w:p w:rsidR="007E5CE5" w:rsidRDefault="00642532"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trace the origins of social complexity in Europe, we need to </w:t>
      </w:r>
      <w:r w:rsidR="006A438D">
        <w:rPr>
          <w:rFonts w:ascii="Times New Roman" w:hAnsi="Times New Roman" w:cs="Times New Roman"/>
          <w:sz w:val="24"/>
          <w:szCs w:val="24"/>
        </w:rPr>
        <w:t xml:space="preserve">look at the evidence from archaeological studies suggesting </w:t>
      </w:r>
      <w:r w:rsidR="00F93CEF">
        <w:rPr>
          <w:rFonts w:ascii="Times New Roman" w:hAnsi="Times New Roman" w:cs="Times New Roman"/>
          <w:sz w:val="24"/>
          <w:szCs w:val="24"/>
        </w:rPr>
        <w:t xml:space="preserve">emergence of large communities and forms of social organization that went beyond extended families. </w:t>
      </w:r>
    </w:p>
    <w:p w:rsidR="00BE7DDD" w:rsidRDefault="00F9069A"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lang w:val="mn-MN"/>
        </w:rPr>
        <w:t xml:space="preserve"> </w:t>
      </w:r>
      <w:r>
        <w:rPr>
          <w:rFonts w:ascii="Times New Roman" w:hAnsi="Times New Roman" w:cs="Times New Roman"/>
          <w:sz w:val="24"/>
          <w:szCs w:val="24"/>
        </w:rPr>
        <w:t>Across Eurasia, there is very little doubt where the earliest evidence of domestication of plants and animals has been found. While the Middle East is undoubtedly the place where the experimentation and the subsequent process of establishing connection between humans and plants/animals have had happened, domesticates have been considered to have moved to southeastern Europe by 8,500 years ago</w:t>
      </w:r>
      <w:r w:rsidR="00E14CDA">
        <w:rPr>
          <w:rFonts w:ascii="Times New Roman" w:hAnsi="Times New Roman" w:cs="Times New Roman"/>
          <w:sz w:val="24"/>
          <w:szCs w:val="24"/>
        </w:rPr>
        <w:t xml:space="preserve"> and initial stages of farming have started around 7,500 years ago in central and western Europe (Chazan 2021). </w:t>
      </w:r>
      <w:r w:rsidR="004A3DA7">
        <w:rPr>
          <w:rFonts w:ascii="Times New Roman" w:hAnsi="Times New Roman" w:cs="Times New Roman"/>
          <w:sz w:val="24"/>
          <w:szCs w:val="24"/>
        </w:rPr>
        <w:t xml:space="preserve">By 6,000 years ago, agriculture was practiced in almost every part of Europe. </w:t>
      </w:r>
    </w:p>
    <w:p w:rsidR="00F9069A" w:rsidRDefault="00F9069A"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AA00B0">
        <w:rPr>
          <w:rFonts w:ascii="Times New Roman" w:hAnsi="Times New Roman" w:cs="Times New Roman"/>
          <w:sz w:val="24"/>
          <w:szCs w:val="24"/>
        </w:rPr>
        <w:t xml:space="preserve">Earlier approaches associated introduction of domesticates in Europe and spread of farming with increase of population in societies with agriculture. That pushed farmers to carry with them an entire way of life, including farming, religion, and language into new territories and as a result, introduce domesticates in new areas </w:t>
      </w:r>
      <w:r w:rsidR="00D256A2">
        <w:rPr>
          <w:rFonts w:ascii="Times New Roman" w:hAnsi="Times New Roman" w:cs="Times New Roman"/>
          <w:sz w:val="24"/>
          <w:szCs w:val="24"/>
        </w:rPr>
        <w:t>(Renfrew 1990)</w:t>
      </w:r>
      <w:r w:rsidR="00AA00B0">
        <w:rPr>
          <w:rFonts w:ascii="Times New Roman" w:hAnsi="Times New Roman" w:cs="Times New Roman"/>
          <w:sz w:val="24"/>
          <w:szCs w:val="24"/>
        </w:rPr>
        <w:t xml:space="preserve">. While this process might have </w:t>
      </w:r>
      <w:r w:rsidR="00AA00B0">
        <w:rPr>
          <w:rFonts w:ascii="Times New Roman" w:hAnsi="Times New Roman" w:cs="Times New Roman"/>
          <w:sz w:val="24"/>
          <w:szCs w:val="24"/>
        </w:rPr>
        <w:lastRenderedPageBreak/>
        <w:t xml:space="preserve">occurred in some parts of Europe, generally it makes hunting-gathering societies to appear passive and defenseless. </w:t>
      </w:r>
    </w:p>
    <w:p w:rsidR="00076DD2" w:rsidRDefault="00630575"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 increasing archaeological evidence suggests that hunting-gathering societies in Europe</w:t>
      </w:r>
      <w:r w:rsidR="00F817CB">
        <w:rPr>
          <w:rFonts w:ascii="Times New Roman" w:hAnsi="Times New Roman" w:cs="Times New Roman"/>
          <w:sz w:val="24"/>
          <w:szCs w:val="24"/>
        </w:rPr>
        <w:t xml:space="preserve"> were much more active than previously considered. </w:t>
      </w:r>
      <w:r w:rsidR="00025F12">
        <w:rPr>
          <w:rFonts w:ascii="Times New Roman" w:hAnsi="Times New Roman" w:cs="Times New Roman"/>
          <w:sz w:val="24"/>
          <w:szCs w:val="24"/>
        </w:rPr>
        <w:t xml:space="preserve">For example, </w:t>
      </w:r>
      <w:r w:rsidR="00A91AB4">
        <w:rPr>
          <w:rFonts w:ascii="Times New Roman" w:hAnsi="Times New Roman" w:cs="Times New Roman"/>
          <w:sz w:val="24"/>
          <w:szCs w:val="24"/>
        </w:rPr>
        <w:t xml:space="preserve">at the site of Franchthi Cave in Greece, remains of occupation from 11,000 years ago show that occupants hunted red deer, cattle, and pigs. Collecting snails, shellfish, pistachios, almonds, pears, wild oats, wild barleys, as well as offshore fishing for tuna were also practiced as part of the subsistence economy </w:t>
      </w:r>
      <w:r w:rsidR="00F817CB">
        <w:rPr>
          <w:rFonts w:ascii="Times New Roman" w:hAnsi="Times New Roman" w:cs="Times New Roman"/>
          <w:sz w:val="24"/>
          <w:szCs w:val="24"/>
        </w:rPr>
        <w:t>(Perlés 2001)</w:t>
      </w:r>
      <w:r w:rsidR="00A91AB4">
        <w:rPr>
          <w:rFonts w:ascii="Times New Roman" w:hAnsi="Times New Roman" w:cs="Times New Roman"/>
          <w:sz w:val="24"/>
          <w:szCs w:val="24"/>
        </w:rPr>
        <w:t xml:space="preserve">. </w:t>
      </w:r>
      <w:r w:rsidR="009B6A44">
        <w:rPr>
          <w:rFonts w:ascii="Times New Roman" w:hAnsi="Times New Roman" w:cs="Times New Roman"/>
          <w:sz w:val="24"/>
          <w:szCs w:val="24"/>
        </w:rPr>
        <w:t xml:space="preserve">Even at this early stage people were engaged in long-distance sea voyages although no remains of boats or other floating devices have ever been found. </w:t>
      </w:r>
      <w:r w:rsidR="00886C89">
        <w:rPr>
          <w:rFonts w:ascii="Times New Roman" w:hAnsi="Times New Roman" w:cs="Times New Roman"/>
          <w:sz w:val="24"/>
          <w:szCs w:val="24"/>
        </w:rPr>
        <w:t>For instance,</w:t>
      </w:r>
      <w:r w:rsidR="00CD3C97">
        <w:rPr>
          <w:rFonts w:ascii="Times New Roman" w:hAnsi="Times New Roman" w:cs="Times New Roman"/>
          <w:sz w:val="24"/>
          <w:szCs w:val="24"/>
        </w:rPr>
        <w:t xml:space="preserve"> archaeologists can trace the origin of volcanic rocks known as obsidian using </w:t>
      </w:r>
      <w:r w:rsidR="005E4D15">
        <w:rPr>
          <w:rFonts w:ascii="Times New Roman" w:hAnsi="Times New Roman" w:cs="Times New Roman"/>
          <w:sz w:val="24"/>
          <w:szCs w:val="24"/>
        </w:rPr>
        <w:t>a non-destructive analytical technique, called X-ray fluorescence</w:t>
      </w:r>
      <w:r w:rsidR="00193D59">
        <w:rPr>
          <w:rFonts w:ascii="Times New Roman" w:hAnsi="Times New Roman" w:cs="Times New Roman"/>
          <w:sz w:val="24"/>
          <w:szCs w:val="24"/>
        </w:rPr>
        <w:t xml:space="preserve"> (XRF)</w:t>
      </w:r>
      <w:r w:rsidR="005E4D15">
        <w:rPr>
          <w:rFonts w:ascii="Times New Roman" w:hAnsi="Times New Roman" w:cs="Times New Roman"/>
          <w:sz w:val="24"/>
          <w:szCs w:val="24"/>
        </w:rPr>
        <w:t>, to determine the elemental composition of material. This technique is particularly useful as each volcano has its own unique elemental composition. When</w:t>
      </w:r>
      <w:r w:rsidR="00A00B91">
        <w:rPr>
          <w:rFonts w:ascii="Times New Roman" w:hAnsi="Times New Roman" w:cs="Times New Roman"/>
          <w:sz w:val="24"/>
          <w:szCs w:val="24"/>
        </w:rPr>
        <w:t xml:space="preserve"> XRF analysis was</w:t>
      </w:r>
      <w:r w:rsidR="00193D59">
        <w:rPr>
          <w:rFonts w:ascii="Times New Roman" w:hAnsi="Times New Roman" w:cs="Times New Roman"/>
          <w:sz w:val="24"/>
          <w:szCs w:val="24"/>
        </w:rPr>
        <w:t xml:space="preserve"> conducted on obsidian from Frachtchi Cave, it was traced to have come from the island of Melos that is located about 100 km south from the mainland.</w:t>
      </w:r>
    </w:p>
    <w:p w:rsidR="00A57199" w:rsidRDefault="00076DD2"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Another case study that has shown how much hunter and gatherers could actively manipulate some aspects of their environment comes from coastal England (Brown 2005).</w:t>
      </w:r>
      <w:r w:rsidR="00BE53C5">
        <w:rPr>
          <w:rFonts w:ascii="Times New Roman" w:hAnsi="Times New Roman" w:cs="Times New Roman"/>
          <w:sz w:val="24"/>
          <w:szCs w:val="24"/>
        </w:rPr>
        <w:t xml:space="preserve"> Charcoal has been consistently found from sediment profiles suggesting that burning would have increased the fodder availability that attracted wild animals that could be hunted. It could have also increased the availability of wild plants that were important to human diets.</w:t>
      </w:r>
    </w:p>
    <w:p w:rsidR="006A065F" w:rsidRDefault="0042393A"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next question is who were the first farmers to settle in Europe and start agriculture? Recent genetic studies on skeletal remains from Mesolithic and Neolithic sites tell a somewhat different story to the once proposed ‘wave of advance’ model </w:t>
      </w:r>
      <w:r w:rsidR="00A57199">
        <w:rPr>
          <w:rFonts w:ascii="Times New Roman" w:hAnsi="Times New Roman" w:cs="Times New Roman"/>
          <w:sz w:val="24"/>
          <w:szCs w:val="24"/>
        </w:rPr>
        <w:t>(Fu et al. 2012)</w:t>
      </w:r>
      <w:r>
        <w:rPr>
          <w:rFonts w:ascii="Times New Roman" w:hAnsi="Times New Roman" w:cs="Times New Roman"/>
          <w:sz w:val="24"/>
          <w:szCs w:val="24"/>
        </w:rPr>
        <w:t>. Analysis showed that Mesolithic hunter-gatherers carried dominant genetic feature known as Haplogroup U. However, this genetic feature’s frequency decreases in Neolithic samples that are dominated by another line of descent known as Haplogroup H. This evidence indicates that an influ</w:t>
      </w:r>
      <w:r w:rsidR="00885C79">
        <w:rPr>
          <w:rFonts w:ascii="Times New Roman" w:hAnsi="Times New Roman" w:cs="Times New Roman"/>
          <w:sz w:val="24"/>
          <w:szCs w:val="24"/>
        </w:rPr>
        <w:t>x of a different population took place at early stages of the Neolithic. However, this population did not co</w:t>
      </w:r>
      <w:r w:rsidR="006A065F">
        <w:rPr>
          <w:rFonts w:ascii="Times New Roman" w:hAnsi="Times New Roman" w:cs="Times New Roman"/>
          <w:sz w:val="24"/>
          <w:szCs w:val="24"/>
        </w:rPr>
        <w:t>mpletely replace</w:t>
      </w:r>
      <w:r w:rsidR="00885C79">
        <w:rPr>
          <w:rFonts w:ascii="Times New Roman" w:hAnsi="Times New Roman" w:cs="Times New Roman"/>
          <w:sz w:val="24"/>
          <w:szCs w:val="24"/>
        </w:rPr>
        <w:t xml:space="preserve"> the Mesolithic p</w:t>
      </w:r>
      <w:r w:rsidR="006A065F">
        <w:rPr>
          <w:rFonts w:ascii="Times New Roman" w:hAnsi="Times New Roman" w:cs="Times New Roman"/>
          <w:sz w:val="24"/>
          <w:szCs w:val="24"/>
        </w:rPr>
        <w:t>opulation but rather, there was a gradual mix of different populations</w:t>
      </w:r>
      <w:r w:rsidR="00885C79">
        <w:rPr>
          <w:rFonts w:ascii="Times New Roman" w:hAnsi="Times New Roman" w:cs="Times New Roman"/>
          <w:sz w:val="24"/>
          <w:szCs w:val="24"/>
        </w:rPr>
        <w:t>.</w:t>
      </w:r>
    </w:p>
    <w:p w:rsidR="00E62D98" w:rsidRDefault="006A065F"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By 7,200 years ago, </w:t>
      </w:r>
      <w:r w:rsidR="00BA3714">
        <w:rPr>
          <w:rFonts w:ascii="Times New Roman" w:hAnsi="Times New Roman" w:cs="Times New Roman"/>
          <w:sz w:val="24"/>
          <w:szCs w:val="24"/>
        </w:rPr>
        <w:t xml:space="preserve">western and central parts of Europe </w:t>
      </w:r>
      <w:r w:rsidR="003537EB">
        <w:rPr>
          <w:rFonts w:ascii="Times New Roman" w:hAnsi="Times New Roman" w:cs="Times New Roman"/>
          <w:sz w:val="24"/>
          <w:szCs w:val="24"/>
        </w:rPr>
        <w:t xml:space="preserve">were occupied by communities who were identified by their different way of life as well as their material culture. </w:t>
      </w:r>
      <w:r w:rsidR="00BE0A16">
        <w:rPr>
          <w:rFonts w:ascii="Times New Roman" w:hAnsi="Times New Roman" w:cs="Times New Roman"/>
          <w:sz w:val="24"/>
          <w:szCs w:val="24"/>
        </w:rPr>
        <w:t xml:space="preserve">Their ceramic </w:t>
      </w:r>
      <w:r w:rsidR="00BE0A16">
        <w:rPr>
          <w:rFonts w:ascii="Times New Roman" w:hAnsi="Times New Roman" w:cs="Times New Roman"/>
          <w:sz w:val="24"/>
          <w:szCs w:val="24"/>
        </w:rPr>
        <w:lastRenderedPageBreak/>
        <w:t>vessels had banded decorati</w:t>
      </w:r>
      <w:r w:rsidR="00F54181">
        <w:rPr>
          <w:rFonts w:ascii="Times New Roman" w:hAnsi="Times New Roman" w:cs="Times New Roman"/>
          <w:sz w:val="24"/>
          <w:szCs w:val="24"/>
        </w:rPr>
        <w:t xml:space="preserve">ons with incised linear shapes. They became known as Linear Band Keramik or LBK culture. </w:t>
      </w:r>
      <w:r w:rsidR="001A0406">
        <w:rPr>
          <w:rFonts w:ascii="Times New Roman" w:hAnsi="Times New Roman" w:cs="Times New Roman"/>
          <w:sz w:val="24"/>
          <w:szCs w:val="24"/>
        </w:rPr>
        <w:t xml:space="preserve">These communities cultivated Middle Eastern plants and herded Middle Eastern animals. However, their way of living was different from communities in the Middle East. </w:t>
      </w:r>
      <w:r w:rsidR="005D13A9">
        <w:rPr>
          <w:rFonts w:ascii="Times New Roman" w:hAnsi="Times New Roman" w:cs="Times New Roman"/>
          <w:sz w:val="24"/>
          <w:szCs w:val="24"/>
        </w:rPr>
        <w:t xml:space="preserve">LBK villages consisted of longhouses built of massive timbers. </w:t>
      </w:r>
      <w:r w:rsidR="00C468E6">
        <w:rPr>
          <w:rFonts w:ascii="Times New Roman" w:hAnsi="Times New Roman" w:cs="Times New Roman"/>
          <w:sz w:val="24"/>
          <w:szCs w:val="24"/>
        </w:rPr>
        <w:t>Some longhouses were as long as 30 meters and were divided in several sections, each supposedly made for individual family. The fact that individual longhouse wa</w:t>
      </w:r>
      <w:r w:rsidR="00536989">
        <w:rPr>
          <w:rFonts w:ascii="Times New Roman" w:hAnsi="Times New Roman" w:cs="Times New Roman"/>
          <w:sz w:val="24"/>
          <w:szCs w:val="24"/>
        </w:rPr>
        <w:t>s built in this manner might be a reflection of</w:t>
      </w:r>
      <w:r w:rsidR="00C468E6">
        <w:rPr>
          <w:rFonts w:ascii="Times New Roman" w:hAnsi="Times New Roman" w:cs="Times New Roman"/>
          <w:sz w:val="24"/>
          <w:szCs w:val="24"/>
        </w:rPr>
        <w:t xml:space="preserve"> </w:t>
      </w:r>
      <w:r w:rsidR="00536989">
        <w:rPr>
          <w:rFonts w:ascii="Times New Roman" w:hAnsi="Times New Roman" w:cs="Times New Roman"/>
          <w:sz w:val="24"/>
          <w:szCs w:val="24"/>
        </w:rPr>
        <w:t xml:space="preserve">social organization of the </w:t>
      </w:r>
      <w:r w:rsidR="00C468E6">
        <w:rPr>
          <w:rFonts w:ascii="Times New Roman" w:hAnsi="Times New Roman" w:cs="Times New Roman"/>
          <w:sz w:val="24"/>
          <w:szCs w:val="24"/>
        </w:rPr>
        <w:t xml:space="preserve">BLK </w:t>
      </w:r>
      <w:r w:rsidR="00536989">
        <w:rPr>
          <w:rFonts w:ascii="Times New Roman" w:hAnsi="Times New Roman" w:cs="Times New Roman"/>
          <w:sz w:val="24"/>
          <w:szCs w:val="24"/>
        </w:rPr>
        <w:t xml:space="preserve">culture. </w:t>
      </w:r>
      <w:r w:rsidR="00522F63">
        <w:rPr>
          <w:rFonts w:ascii="Times New Roman" w:hAnsi="Times New Roman" w:cs="Times New Roman"/>
          <w:sz w:val="24"/>
          <w:szCs w:val="24"/>
        </w:rPr>
        <w:t>In other words, each house might have been built and used for extended kin</w:t>
      </w:r>
      <w:r w:rsidR="00E86A34">
        <w:rPr>
          <w:rFonts w:ascii="Times New Roman" w:hAnsi="Times New Roman" w:cs="Times New Roman"/>
          <w:sz w:val="24"/>
          <w:szCs w:val="24"/>
        </w:rPr>
        <w:t>ship group that lived together. Sense of community and communal activities (such as agriculture, longhouse construction) have been identified as the binding force of each community that shared same practices and space, and</w:t>
      </w:r>
      <w:r w:rsidR="00151FE8">
        <w:rPr>
          <w:rFonts w:ascii="Times New Roman" w:hAnsi="Times New Roman" w:cs="Times New Roman"/>
          <w:sz w:val="24"/>
          <w:szCs w:val="24"/>
        </w:rPr>
        <w:t xml:space="preserve"> operated towards communal objectives</w:t>
      </w:r>
      <w:r w:rsidR="00E86A34">
        <w:rPr>
          <w:rFonts w:ascii="Times New Roman" w:hAnsi="Times New Roman" w:cs="Times New Roman"/>
          <w:sz w:val="24"/>
          <w:szCs w:val="24"/>
        </w:rPr>
        <w:t>.</w:t>
      </w:r>
      <w:r w:rsidR="00151FE8">
        <w:rPr>
          <w:rFonts w:ascii="Times New Roman" w:hAnsi="Times New Roman" w:cs="Times New Roman"/>
          <w:sz w:val="24"/>
          <w:szCs w:val="24"/>
        </w:rPr>
        <w:t xml:space="preserve"> </w:t>
      </w:r>
    </w:p>
    <w:p w:rsidR="00504295" w:rsidRDefault="00B05A6A"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While archaeologists have a good understanding of how single BLK community operated or how it was organized, we still don’t have all the answers related to the nature of relationship between different BLK communities. Earlier approaches considered all BLK communities to have spread and flourished domesticated economy in new places in peaceful manner. However, </w:t>
      </w:r>
      <w:r w:rsidR="00927162">
        <w:rPr>
          <w:rFonts w:ascii="Times New Roman" w:hAnsi="Times New Roman" w:cs="Times New Roman"/>
          <w:sz w:val="24"/>
          <w:szCs w:val="24"/>
        </w:rPr>
        <w:t>ar</w:t>
      </w:r>
      <w:r w:rsidR="00EA3A38">
        <w:rPr>
          <w:rFonts w:ascii="Times New Roman" w:hAnsi="Times New Roman" w:cs="Times New Roman"/>
          <w:sz w:val="24"/>
          <w:szCs w:val="24"/>
        </w:rPr>
        <w:t>chaeological discoveries of</w:t>
      </w:r>
      <w:r w:rsidR="00927162">
        <w:rPr>
          <w:rFonts w:ascii="Times New Roman" w:hAnsi="Times New Roman" w:cs="Times New Roman"/>
          <w:sz w:val="24"/>
          <w:szCs w:val="24"/>
        </w:rPr>
        <w:t xml:space="preserve"> the last few decades </w:t>
      </w:r>
      <w:r w:rsidR="00EA3A38">
        <w:rPr>
          <w:rFonts w:ascii="Times New Roman" w:hAnsi="Times New Roman" w:cs="Times New Roman"/>
          <w:sz w:val="24"/>
          <w:szCs w:val="24"/>
        </w:rPr>
        <w:t xml:space="preserve">have significantly </w:t>
      </w:r>
      <w:r w:rsidR="00927162">
        <w:rPr>
          <w:rFonts w:ascii="Times New Roman" w:hAnsi="Times New Roman" w:cs="Times New Roman"/>
          <w:sz w:val="24"/>
          <w:szCs w:val="24"/>
        </w:rPr>
        <w:t>changed this perspective.</w:t>
      </w:r>
      <w:r w:rsidR="00EA3A38">
        <w:rPr>
          <w:rFonts w:ascii="Times New Roman" w:hAnsi="Times New Roman" w:cs="Times New Roman"/>
          <w:sz w:val="24"/>
          <w:szCs w:val="24"/>
        </w:rPr>
        <w:t xml:space="preserve"> </w:t>
      </w:r>
    </w:p>
    <w:p w:rsidR="00EE459E" w:rsidRDefault="00A02FE8" w:rsidP="00EC66D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best examples of the nature of social environment </w:t>
      </w:r>
      <w:r w:rsidR="002B79E5">
        <w:rPr>
          <w:rFonts w:ascii="Times New Roman" w:hAnsi="Times New Roman" w:cs="Times New Roman"/>
          <w:sz w:val="24"/>
          <w:szCs w:val="24"/>
        </w:rPr>
        <w:t>among LBK</w:t>
      </w:r>
      <w:r>
        <w:rPr>
          <w:rFonts w:ascii="Times New Roman" w:hAnsi="Times New Roman" w:cs="Times New Roman"/>
          <w:sz w:val="24"/>
          <w:szCs w:val="24"/>
        </w:rPr>
        <w:t xml:space="preserve"> population in Europe comes from southern Germany, particularly from the site of Talheim. </w:t>
      </w:r>
      <w:r w:rsidR="003E6185">
        <w:rPr>
          <w:rFonts w:ascii="Times New Roman" w:hAnsi="Times New Roman" w:cs="Times New Roman"/>
          <w:sz w:val="24"/>
          <w:szCs w:val="24"/>
        </w:rPr>
        <w:t>This site is a large pit with remains of 34 individuals: 11 men, 7 women, and 16 children.</w:t>
      </w:r>
      <w:r w:rsidR="002B79E5">
        <w:rPr>
          <w:rFonts w:ascii="Times New Roman" w:hAnsi="Times New Roman" w:cs="Times New Roman"/>
          <w:sz w:val="24"/>
          <w:szCs w:val="24"/>
        </w:rPr>
        <w:t xml:space="preserve"> After skeletal remains were examined by biological anthropologists, blows to </w:t>
      </w:r>
      <w:r w:rsidR="00062DCA">
        <w:rPr>
          <w:rFonts w:ascii="Times New Roman" w:hAnsi="Times New Roman" w:cs="Times New Roman"/>
          <w:sz w:val="24"/>
          <w:szCs w:val="24"/>
        </w:rPr>
        <w:t xml:space="preserve">the </w:t>
      </w:r>
      <w:r w:rsidR="002B79E5">
        <w:rPr>
          <w:rFonts w:ascii="Times New Roman" w:hAnsi="Times New Roman" w:cs="Times New Roman"/>
          <w:sz w:val="24"/>
          <w:szCs w:val="24"/>
        </w:rPr>
        <w:t xml:space="preserve">head and </w:t>
      </w:r>
      <w:r w:rsidR="00062DCA">
        <w:rPr>
          <w:rFonts w:ascii="Times New Roman" w:hAnsi="Times New Roman" w:cs="Times New Roman"/>
          <w:sz w:val="24"/>
          <w:szCs w:val="24"/>
        </w:rPr>
        <w:t xml:space="preserve">arrow point wounds were named to be the dominant death cause for the majority of individuals. Several skeletons exhibited signs of repeated </w:t>
      </w:r>
      <w:r w:rsidR="002C50D3">
        <w:rPr>
          <w:rFonts w:ascii="Times New Roman" w:hAnsi="Times New Roman" w:cs="Times New Roman"/>
          <w:sz w:val="24"/>
          <w:szCs w:val="24"/>
        </w:rPr>
        <w:t xml:space="preserve">and healed-over trauma, suggesting that violence had occurred routinely. </w:t>
      </w:r>
      <w:r w:rsidR="00790D91">
        <w:rPr>
          <w:rFonts w:ascii="Times New Roman" w:hAnsi="Times New Roman" w:cs="Times New Roman"/>
          <w:sz w:val="24"/>
          <w:szCs w:val="24"/>
        </w:rPr>
        <w:t>In addition to these lethal wounds, the skeletons did not exhibit any evidence of defensive wounds that mostly occur on the hands and forearms. This suggests that the population was fleeing when it was killed</w:t>
      </w:r>
      <w:r w:rsidR="00055CC1">
        <w:rPr>
          <w:rFonts w:ascii="Times New Roman" w:hAnsi="Times New Roman" w:cs="Times New Roman"/>
          <w:sz w:val="24"/>
          <w:szCs w:val="24"/>
        </w:rPr>
        <w:t xml:space="preserve"> (Golitko and Keeley 2007)</w:t>
      </w:r>
      <w:r w:rsidR="00790D91">
        <w:rPr>
          <w:rFonts w:ascii="Times New Roman" w:hAnsi="Times New Roman" w:cs="Times New Roman"/>
          <w:sz w:val="24"/>
          <w:szCs w:val="24"/>
        </w:rPr>
        <w:t>.</w:t>
      </w:r>
      <w:r w:rsidR="00C2172C">
        <w:rPr>
          <w:rFonts w:ascii="Times New Roman" w:hAnsi="Times New Roman" w:cs="Times New Roman"/>
          <w:sz w:val="24"/>
          <w:szCs w:val="24"/>
        </w:rPr>
        <w:t xml:space="preserve"> </w:t>
      </w:r>
    </w:p>
    <w:p w:rsidR="00923CB9" w:rsidRDefault="00C2172C" w:rsidP="00923CB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While some argue that this particular case might be a direct representation of a whole villa</w:t>
      </w:r>
      <w:r w:rsidR="00EE459E">
        <w:rPr>
          <w:rFonts w:ascii="Times New Roman" w:hAnsi="Times New Roman" w:cs="Times New Roman"/>
          <w:sz w:val="24"/>
          <w:szCs w:val="24"/>
        </w:rPr>
        <w:t>ge community being slaughtered as a result of collective</w:t>
      </w:r>
      <w:r>
        <w:rPr>
          <w:rFonts w:ascii="Times New Roman" w:hAnsi="Times New Roman" w:cs="Times New Roman"/>
          <w:sz w:val="24"/>
          <w:szCs w:val="24"/>
        </w:rPr>
        <w:t xml:space="preserve"> violence</w:t>
      </w:r>
      <w:r w:rsidR="000C7D6A">
        <w:rPr>
          <w:rFonts w:ascii="Times New Roman" w:hAnsi="Times New Roman" w:cs="Times New Roman"/>
          <w:sz w:val="24"/>
          <w:szCs w:val="24"/>
        </w:rPr>
        <w:t xml:space="preserve"> (Duering and Wahl 2014)</w:t>
      </w:r>
      <w:r w:rsidR="00F517F5">
        <w:rPr>
          <w:rFonts w:ascii="Times New Roman" w:hAnsi="Times New Roman" w:cs="Times New Roman"/>
          <w:sz w:val="24"/>
          <w:szCs w:val="24"/>
        </w:rPr>
        <w:t xml:space="preserve"> other similar cases might shed more light as to why such violent raids took place between BLK communities.</w:t>
      </w:r>
      <w:r w:rsidR="00EE459E">
        <w:rPr>
          <w:rFonts w:ascii="Times New Roman" w:hAnsi="Times New Roman" w:cs="Times New Roman"/>
          <w:sz w:val="24"/>
          <w:szCs w:val="24"/>
        </w:rPr>
        <w:t xml:space="preserve"> For instance,</w:t>
      </w:r>
      <w:r w:rsidR="00BC5DF1">
        <w:rPr>
          <w:rFonts w:ascii="Times New Roman" w:hAnsi="Times New Roman" w:cs="Times New Roman"/>
          <w:sz w:val="24"/>
          <w:szCs w:val="24"/>
        </w:rPr>
        <w:t xml:space="preserve"> the site of </w:t>
      </w:r>
      <w:r w:rsidR="00180850">
        <w:rPr>
          <w:rFonts w:ascii="Times New Roman" w:hAnsi="Times New Roman" w:cs="Times New Roman"/>
          <w:sz w:val="24"/>
          <w:szCs w:val="24"/>
        </w:rPr>
        <w:t>Schletz in Austria</w:t>
      </w:r>
      <w:r w:rsidR="007B0A98">
        <w:rPr>
          <w:rFonts w:ascii="Times New Roman" w:hAnsi="Times New Roman" w:cs="Times New Roman"/>
          <w:sz w:val="24"/>
          <w:szCs w:val="24"/>
        </w:rPr>
        <w:t xml:space="preserve">, exhibited </w:t>
      </w:r>
      <w:r w:rsidR="00180850">
        <w:rPr>
          <w:rFonts w:ascii="Times New Roman" w:hAnsi="Times New Roman" w:cs="Times New Roman"/>
          <w:sz w:val="24"/>
          <w:szCs w:val="24"/>
        </w:rPr>
        <w:t>the violent death of 67</w:t>
      </w:r>
      <w:r w:rsidR="007B0A98">
        <w:rPr>
          <w:rFonts w:ascii="Times New Roman" w:hAnsi="Times New Roman" w:cs="Times New Roman"/>
          <w:sz w:val="24"/>
          <w:szCs w:val="24"/>
        </w:rPr>
        <w:t xml:space="preserve"> individuals</w:t>
      </w:r>
      <w:r w:rsidR="00180850">
        <w:rPr>
          <w:rFonts w:ascii="Times New Roman" w:hAnsi="Times New Roman" w:cs="Times New Roman"/>
          <w:sz w:val="24"/>
          <w:szCs w:val="24"/>
        </w:rPr>
        <w:t xml:space="preserve"> with a chance that they could be more. </w:t>
      </w:r>
      <w:r w:rsidR="007B0A98">
        <w:rPr>
          <w:rFonts w:ascii="Times New Roman" w:hAnsi="Times New Roman" w:cs="Times New Roman"/>
          <w:sz w:val="24"/>
          <w:szCs w:val="24"/>
        </w:rPr>
        <w:t>The most interesting fact, however, is that</w:t>
      </w:r>
      <w:r w:rsidR="00180850">
        <w:rPr>
          <w:rFonts w:ascii="Times New Roman" w:hAnsi="Times New Roman" w:cs="Times New Roman"/>
          <w:sz w:val="24"/>
          <w:szCs w:val="24"/>
        </w:rPr>
        <w:t xml:space="preserve"> there were fewer women than men in the Schletz pit. It is possible that </w:t>
      </w:r>
      <w:r w:rsidR="002C32E6">
        <w:rPr>
          <w:rFonts w:ascii="Times New Roman" w:hAnsi="Times New Roman" w:cs="Times New Roman"/>
          <w:sz w:val="24"/>
          <w:szCs w:val="24"/>
        </w:rPr>
        <w:t xml:space="preserve">after the attack occurred </w:t>
      </w:r>
      <w:r w:rsidR="002C32E6">
        <w:rPr>
          <w:rFonts w:ascii="Times New Roman" w:hAnsi="Times New Roman" w:cs="Times New Roman"/>
          <w:sz w:val="24"/>
          <w:szCs w:val="24"/>
        </w:rPr>
        <w:lastRenderedPageBreak/>
        <w:t>women were spared and kidnapped. Others have suggested that the whole reason of violent conflicts might have had to do with scarcity of women to marry and search for new ones from neighboring communities.</w:t>
      </w:r>
    </w:p>
    <w:p w:rsidR="00E24601" w:rsidRDefault="00923CB9"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Another case of violence that caught the eye of researchers of the Neolithic in Europe was the case of a man whose mummified remains were discovered in the ice in the Alps near the Austrian-Italian border.</w:t>
      </w:r>
      <w:r w:rsidR="007172C2">
        <w:rPr>
          <w:rFonts w:ascii="Times New Roman" w:hAnsi="Times New Roman" w:cs="Times New Roman"/>
          <w:sz w:val="24"/>
          <w:szCs w:val="24"/>
        </w:rPr>
        <w:t xml:space="preserve"> The fact that this man, who died about 5,000 years ago, was covered in ice since he died made it possible for his body and clothing to be preserved in almost perfect state. </w:t>
      </w:r>
      <w:r w:rsidR="00FE74CC">
        <w:rPr>
          <w:rFonts w:ascii="Times New Roman" w:hAnsi="Times New Roman" w:cs="Times New Roman"/>
          <w:sz w:val="24"/>
          <w:szCs w:val="24"/>
        </w:rPr>
        <w:t xml:space="preserve">He wore a cap, a shirt, and leggings made of fur. His shoes were made of leather. In his </w:t>
      </w:r>
      <w:r w:rsidR="00C85785">
        <w:rPr>
          <w:rFonts w:ascii="Times New Roman" w:hAnsi="Times New Roman" w:cs="Times New Roman"/>
          <w:sz w:val="24"/>
          <w:szCs w:val="24"/>
        </w:rPr>
        <w:t xml:space="preserve">bag he had embers to start fire and a toolkit to make stone flint tools. </w:t>
      </w:r>
      <w:r w:rsidR="002F2E7B">
        <w:rPr>
          <w:rFonts w:ascii="Times New Roman" w:hAnsi="Times New Roman" w:cs="Times New Roman"/>
          <w:sz w:val="24"/>
          <w:szCs w:val="24"/>
        </w:rPr>
        <w:t>Analysis of his fingernails indicated periods of distress prior to his death. An arrowhead was found lodged in his left shoulder. There are many suggestions in the academic world as to who he was and how he e</w:t>
      </w:r>
      <w:r w:rsidR="003538A4">
        <w:rPr>
          <w:rFonts w:ascii="Times New Roman" w:hAnsi="Times New Roman" w:cs="Times New Roman"/>
          <w:sz w:val="24"/>
          <w:szCs w:val="24"/>
        </w:rPr>
        <w:t>nded up dying here. If some have suggested that he died as a result of apparent attack, others have suggested that h</w:t>
      </w:r>
      <w:r w:rsidR="00DD314A">
        <w:rPr>
          <w:rFonts w:ascii="Times New Roman" w:hAnsi="Times New Roman" w:cs="Times New Roman"/>
          <w:sz w:val="24"/>
          <w:szCs w:val="24"/>
        </w:rPr>
        <w:t>e was chased down by members of other community that attacked this man’s village</w:t>
      </w:r>
      <w:r w:rsidR="00AC6B4F">
        <w:rPr>
          <w:rFonts w:ascii="Times New Roman" w:hAnsi="Times New Roman" w:cs="Times New Roman"/>
          <w:sz w:val="24"/>
          <w:szCs w:val="24"/>
        </w:rPr>
        <w:t xml:space="preserve"> (Chazan 2021)</w:t>
      </w:r>
      <w:r w:rsidR="00DD314A">
        <w:rPr>
          <w:rFonts w:ascii="Times New Roman" w:hAnsi="Times New Roman" w:cs="Times New Roman"/>
          <w:sz w:val="24"/>
          <w:szCs w:val="24"/>
        </w:rPr>
        <w:t>.</w:t>
      </w:r>
      <w:r w:rsidR="00AC6B4F">
        <w:rPr>
          <w:rFonts w:ascii="Times New Roman" w:hAnsi="Times New Roman" w:cs="Times New Roman"/>
          <w:sz w:val="24"/>
          <w:szCs w:val="24"/>
        </w:rPr>
        <w:t xml:space="preserve"> </w:t>
      </w:r>
    </w:p>
    <w:p w:rsidR="00590583" w:rsidRDefault="00E24601"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After the period of 4,000 BC, archaeologists have recovered more than enough evidence to suggest that new social orders and cultural transformations took place. This is especially seen from the archaeological record of Atlantic Europe. </w:t>
      </w:r>
      <w:r w:rsidR="00C035F2">
        <w:rPr>
          <w:rFonts w:ascii="Times New Roman" w:hAnsi="Times New Roman" w:cs="Times New Roman"/>
          <w:sz w:val="24"/>
          <w:szCs w:val="24"/>
        </w:rPr>
        <w:t>For example, large-scale or megalithic structures were built by farming communities in England and Ireland</w:t>
      </w:r>
      <w:r w:rsidR="00590583">
        <w:rPr>
          <w:rFonts w:ascii="Times New Roman" w:hAnsi="Times New Roman" w:cs="Times New Roman"/>
          <w:sz w:val="24"/>
          <w:szCs w:val="24"/>
        </w:rPr>
        <w:t xml:space="preserve">. While identifying the age of these monuments was important for archaeology, it raised many more questions. What was the relationship between spreading of farming and construction of these monuments? What do these monuments express? What was their purpose to be so large? </w:t>
      </w:r>
    </w:p>
    <w:p w:rsidR="00A85478" w:rsidRDefault="00045113"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Newgrange passage grave was one of the earliest megalithic structures to be built around 3,200 BC. </w:t>
      </w:r>
      <w:r w:rsidR="00C23C08">
        <w:rPr>
          <w:rFonts w:ascii="Times New Roman" w:hAnsi="Times New Roman" w:cs="Times New Roman"/>
          <w:sz w:val="24"/>
          <w:szCs w:val="24"/>
        </w:rPr>
        <w:t>The sheer volume of construction material used as well as the organization of labor and concentration of resources would have required planning and execution level that goes beyond extended family.</w:t>
      </w:r>
      <w:r w:rsidR="00BC0627">
        <w:rPr>
          <w:rFonts w:ascii="Times New Roman" w:hAnsi="Times New Roman" w:cs="Times New Roman"/>
          <w:sz w:val="24"/>
          <w:szCs w:val="24"/>
        </w:rPr>
        <w:t xml:space="preserve"> Across Britain</w:t>
      </w:r>
      <w:r w:rsidR="001A501C">
        <w:rPr>
          <w:rFonts w:ascii="Times New Roman" w:hAnsi="Times New Roman" w:cs="Times New Roman"/>
          <w:sz w:val="24"/>
          <w:szCs w:val="24"/>
        </w:rPr>
        <w:t xml:space="preserve"> during the Neolithic, many megalithic structures were built </w:t>
      </w:r>
      <w:r w:rsidR="00BC0627">
        <w:rPr>
          <w:rFonts w:ascii="Times New Roman" w:hAnsi="Times New Roman" w:cs="Times New Roman"/>
          <w:sz w:val="24"/>
          <w:szCs w:val="24"/>
        </w:rPr>
        <w:t>that</w:t>
      </w:r>
      <w:r w:rsidR="001A501C">
        <w:rPr>
          <w:rFonts w:ascii="Times New Roman" w:hAnsi="Times New Roman" w:cs="Times New Roman"/>
          <w:sz w:val="24"/>
          <w:szCs w:val="24"/>
        </w:rPr>
        <w:t xml:space="preserve"> would have required organization and involvement of many people. One of the ways to define their purpose is to identify how they might have been used. Almost all of them were associated with funeral activities but</w:t>
      </w:r>
      <w:r w:rsidR="00F638D7">
        <w:rPr>
          <w:rFonts w:ascii="Times New Roman" w:hAnsi="Times New Roman" w:cs="Times New Roman"/>
          <w:sz w:val="24"/>
          <w:szCs w:val="24"/>
        </w:rPr>
        <w:t xml:space="preserve"> this fact begs the questions as to why Neolithic peoples built them this large. </w:t>
      </w:r>
    </w:p>
    <w:p w:rsidR="00660F02" w:rsidRDefault="00A85478"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Some have suggested that the size and design of megalithic monuments were closely associated with memories of people</w:t>
      </w:r>
      <w:r w:rsidR="000067D5">
        <w:rPr>
          <w:rFonts w:ascii="Times New Roman" w:hAnsi="Times New Roman" w:cs="Times New Roman"/>
          <w:sz w:val="24"/>
          <w:szCs w:val="24"/>
        </w:rPr>
        <w:t xml:space="preserve"> (Bradley 2007)</w:t>
      </w:r>
      <w:r>
        <w:rPr>
          <w:rFonts w:ascii="Times New Roman" w:hAnsi="Times New Roman" w:cs="Times New Roman"/>
          <w:sz w:val="24"/>
          <w:szCs w:val="24"/>
        </w:rPr>
        <w:t xml:space="preserve">. The fact that </w:t>
      </w:r>
      <w:r w:rsidR="000067D5">
        <w:rPr>
          <w:rFonts w:ascii="Times New Roman" w:hAnsi="Times New Roman" w:cs="Times New Roman"/>
          <w:sz w:val="24"/>
          <w:szCs w:val="24"/>
        </w:rPr>
        <w:t xml:space="preserve">megalithic </w:t>
      </w:r>
      <w:r>
        <w:rPr>
          <w:rFonts w:ascii="Times New Roman" w:hAnsi="Times New Roman" w:cs="Times New Roman"/>
          <w:sz w:val="24"/>
          <w:szCs w:val="24"/>
        </w:rPr>
        <w:t>monuments</w:t>
      </w:r>
      <w:r w:rsidR="000067D5">
        <w:rPr>
          <w:rFonts w:ascii="Times New Roman" w:hAnsi="Times New Roman" w:cs="Times New Roman"/>
          <w:sz w:val="24"/>
          <w:szCs w:val="24"/>
        </w:rPr>
        <w:t xml:space="preserve"> were </w:t>
      </w:r>
      <w:r w:rsidR="000067D5">
        <w:rPr>
          <w:rFonts w:ascii="Times New Roman" w:hAnsi="Times New Roman" w:cs="Times New Roman"/>
          <w:sz w:val="24"/>
          <w:szCs w:val="24"/>
        </w:rPr>
        <w:lastRenderedPageBreak/>
        <w:t xml:space="preserve">built to last for a very long time makes them ideal </w:t>
      </w:r>
      <w:r w:rsidR="00EF6571">
        <w:rPr>
          <w:rFonts w:ascii="Times New Roman" w:hAnsi="Times New Roman" w:cs="Times New Roman"/>
          <w:sz w:val="24"/>
          <w:szCs w:val="24"/>
        </w:rPr>
        <w:t>candidates for embodying legacies and identities of individuals and communities through time.</w:t>
      </w:r>
    </w:p>
    <w:p w:rsidR="00B14E18" w:rsidRDefault="00660F02"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These early megalithic monuments were primarily used for funerary purposes. Most of them had internal chambers and galleries where individuals were buried in same ways. As far as archaeologists are concerned, there were no indications that any individual was treated differently than others. Such evidence suggests that </w:t>
      </w:r>
      <w:r w:rsidR="00901E03">
        <w:rPr>
          <w:rFonts w:ascii="Times New Roman" w:hAnsi="Times New Roman" w:cs="Times New Roman"/>
          <w:sz w:val="24"/>
          <w:szCs w:val="24"/>
        </w:rPr>
        <w:t xml:space="preserve">when these megalithic monuments started to be erected and change the monument landscape forever, communal identity was more important than that of individual’s.   </w:t>
      </w:r>
      <w:r>
        <w:rPr>
          <w:rFonts w:ascii="Times New Roman" w:hAnsi="Times New Roman" w:cs="Times New Roman"/>
          <w:sz w:val="24"/>
          <w:szCs w:val="24"/>
        </w:rPr>
        <w:t xml:space="preserve"> </w:t>
      </w:r>
      <w:r w:rsidR="00EF6571">
        <w:rPr>
          <w:rFonts w:ascii="Times New Roman" w:hAnsi="Times New Roman" w:cs="Times New Roman"/>
          <w:sz w:val="24"/>
          <w:szCs w:val="24"/>
        </w:rPr>
        <w:t xml:space="preserve"> </w:t>
      </w:r>
    </w:p>
    <w:p w:rsidR="00E95EDF" w:rsidRDefault="00B14E18"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But perhaps the best known, as well as the most impressive archaeological site in Europe is Stonehenge. Not only Stonehenge can be considered as an indication of social and economic new orders that extended beyond local communities during the Neolithic, but it has also been one of the major archaeological sites that played essential role in developing theories on megalithic monuments and their association with socio-cultural and economic events. </w:t>
      </w:r>
      <w:r w:rsidR="00660F02">
        <w:rPr>
          <w:rFonts w:ascii="Times New Roman" w:hAnsi="Times New Roman" w:cs="Times New Roman"/>
          <w:sz w:val="24"/>
          <w:szCs w:val="24"/>
        </w:rPr>
        <w:t>Many scholars have suggested that the reason why Neolithic population started building megalithic monuments had to do with intensification of farming and settled lifeway. Agricultural surplus made it possible to provide sufficient energy to individuals involved in construction of megalithic monuments. At the time, building monuments that lasts would have been essential in arranging the landscape in relation to agricultural resources such as land</w:t>
      </w:r>
      <w:r w:rsidR="00331E4A">
        <w:rPr>
          <w:rFonts w:ascii="Times New Roman" w:hAnsi="Times New Roman" w:cs="Times New Roman"/>
          <w:sz w:val="24"/>
          <w:szCs w:val="24"/>
        </w:rPr>
        <w:t xml:space="preserve"> for plowing</w:t>
      </w:r>
      <w:r w:rsidR="00F10334">
        <w:rPr>
          <w:rFonts w:ascii="Times New Roman" w:hAnsi="Times New Roman" w:cs="Times New Roman"/>
          <w:sz w:val="24"/>
          <w:szCs w:val="24"/>
        </w:rPr>
        <w:t xml:space="preserve"> (Chapman 1995)</w:t>
      </w:r>
      <w:r w:rsidR="00660F02">
        <w:rPr>
          <w:rFonts w:ascii="Times New Roman" w:hAnsi="Times New Roman" w:cs="Times New Roman"/>
          <w:sz w:val="24"/>
          <w:szCs w:val="24"/>
        </w:rPr>
        <w:t>.</w:t>
      </w:r>
      <w:r w:rsidR="00C11413">
        <w:rPr>
          <w:rFonts w:ascii="Times New Roman" w:hAnsi="Times New Roman" w:cs="Times New Roman"/>
          <w:sz w:val="24"/>
          <w:szCs w:val="24"/>
        </w:rPr>
        <w:t xml:space="preserve"> But the most important question is what kind of social organization and economic foundations would have allowed Neolithic people to build such impressive and large-scale monuments. </w:t>
      </w:r>
      <w:r w:rsidR="00E95EDF">
        <w:rPr>
          <w:rFonts w:ascii="Times New Roman" w:hAnsi="Times New Roman" w:cs="Times New Roman"/>
          <w:sz w:val="24"/>
          <w:szCs w:val="24"/>
        </w:rPr>
        <w:t>In other words, what were the social and economic context surrounding the construction of this monument?</w:t>
      </w:r>
    </w:p>
    <w:p w:rsidR="007C62C7" w:rsidRDefault="004B6786"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Stonehenge monument is located in Salisbury Plain in southern England. It consists of massive stones that form a ring. </w:t>
      </w:r>
      <w:r w:rsidR="00F25A28">
        <w:rPr>
          <w:rFonts w:ascii="Times New Roman" w:hAnsi="Times New Roman" w:cs="Times New Roman"/>
          <w:sz w:val="24"/>
          <w:szCs w:val="24"/>
        </w:rPr>
        <w:t>Archaeological research of Stonehenge in the last two centuries demonstrated that it is not a monument that was built as a result of single construction campaign.</w:t>
      </w:r>
      <w:r w:rsidR="00A95EEB">
        <w:rPr>
          <w:rFonts w:ascii="Times New Roman" w:hAnsi="Times New Roman" w:cs="Times New Roman"/>
          <w:sz w:val="24"/>
          <w:szCs w:val="24"/>
        </w:rPr>
        <w:t xml:space="preserve"> Rather, it was built in several stages that</w:t>
      </w:r>
      <w:r w:rsidR="00593DE3">
        <w:rPr>
          <w:rFonts w:ascii="Times New Roman" w:hAnsi="Times New Roman" w:cs="Times New Roman"/>
          <w:sz w:val="24"/>
          <w:szCs w:val="24"/>
        </w:rPr>
        <w:t xml:space="preserve"> lasted over a period of more than 1,000 years. </w:t>
      </w:r>
      <w:r w:rsidR="005A55A6">
        <w:rPr>
          <w:rFonts w:ascii="Times New Roman" w:hAnsi="Times New Roman" w:cs="Times New Roman"/>
          <w:sz w:val="24"/>
          <w:szCs w:val="24"/>
        </w:rPr>
        <w:t xml:space="preserve">When archaeologists </w:t>
      </w:r>
      <w:r w:rsidR="000504D9">
        <w:rPr>
          <w:rFonts w:ascii="Times New Roman" w:hAnsi="Times New Roman" w:cs="Times New Roman"/>
          <w:sz w:val="24"/>
          <w:szCs w:val="24"/>
        </w:rPr>
        <w:t xml:space="preserve">extended their research beyond Stonehenge, </w:t>
      </w:r>
      <w:r w:rsidR="00D864D4">
        <w:rPr>
          <w:rFonts w:ascii="Times New Roman" w:hAnsi="Times New Roman" w:cs="Times New Roman"/>
          <w:sz w:val="24"/>
          <w:szCs w:val="24"/>
        </w:rPr>
        <w:t xml:space="preserve">they discovered an entire built landscape, the center of which was Stonehenge. </w:t>
      </w:r>
      <w:r w:rsidR="00607369">
        <w:rPr>
          <w:rFonts w:ascii="Times New Roman" w:hAnsi="Times New Roman" w:cs="Times New Roman"/>
          <w:sz w:val="24"/>
          <w:szCs w:val="24"/>
        </w:rPr>
        <w:t>Therefore, this complex provided an opportunity to produce answers</w:t>
      </w:r>
      <w:r w:rsidR="003D5223">
        <w:rPr>
          <w:rFonts w:ascii="Times New Roman" w:hAnsi="Times New Roman" w:cs="Times New Roman"/>
          <w:sz w:val="24"/>
          <w:szCs w:val="24"/>
        </w:rPr>
        <w:t xml:space="preserve"> related to socio-economic context surrounding this megalithic monument</w:t>
      </w:r>
      <w:r w:rsidR="00607369">
        <w:rPr>
          <w:rFonts w:ascii="Times New Roman" w:hAnsi="Times New Roman" w:cs="Times New Roman"/>
          <w:sz w:val="24"/>
          <w:szCs w:val="24"/>
        </w:rPr>
        <w:t xml:space="preserve"> from long-term perspective.</w:t>
      </w:r>
      <w:r w:rsidR="003D5223">
        <w:rPr>
          <w:rFonts w:ascii="Times New Roman" w:hAnsi="Times New Roman" w:cs="Times New Roman"/>
          <w:sz w:val="24"/>
          <w:szCs w:val="24"/>
        </w:rPr>
        <w:t xml:space="preserve"> </w:t>
      </w:r>
    </w:p>
    <w:p w:rsidR="00DF44C3" w:rsidRDefault="00DF44C3" w:rsidP="003538A4">
      <w:pPr>
        <w:spacing w:after="0" w:line="360" w:lineRule="auto"/>
        <w:ind w:firstLine="720"/>
        <w:jc w:val="both"/>
        <w:rPr>
          <w:rFonts w:ascii="Times New Roman" w:hAnsi="Times New Roman" w:cs="Times New Roman"/>
          <w:sz w:val="24"/>
          <w:szCs w:val="24"/>
        </w:rPr>
      </w:pPr>
    </w:p>
    <w:p w:rsidR="00DF44C3" w:rsidRDefault="00DF44C3" w:rsidP="003538A4">
      <w:pPr>
        <w:spacing w:after="0" w:line="360" w:lineRule="auto"/>
        <w:ind w:firstLine="720"/>
        <w:jc w:val="both"/>
        <w:rPr>
          <w:rFonts w:ascii="Times New Roman" w:hAnsi="Times New Roman" w:cs="Times New Roman"/>
          <w:sz w:val="24"/>
          <w:szCs w:val="24"/>
        </w:rPr>
      </w:pPr>
    </w:p>
    <w:p w:rsidR="007C62C7" w:rsidRDefault="007C62C7" w:rsidP="003538A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These are the stages involved in the construction of Stonehenge:</w:t>
      </w:r>
    </w:p>
    <w:p w:rsidR="00923CB9" w:rsidRDefault="007C62C7" w:rsidP="007C62C7">
      <w:pPr>
        <w:pStyle w:val="ListParagraph"/>
        <w:numPr>
          <w:ilvl w:val="0"/>
          <w:numId w:val="1"/>
        </w:numPr>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Phase 1: initial construction involved a round ditch that measured about 110 meters in diameter. </w:t>
      </w:r>
      <w:r w:rsidR="004D65C0">
        <w:rPr>
          <w:rFonts w:ascii="Times New Roman" w:hAnsi="Times New Roman" w:cs="Times New Roman"/>
          <w:sz w:val="24"/>
          <w:szCs w:val="24"/>
        </w:rPr>
        <w:t>Wooden posts were erected in a shape of a ring. It is also known as the Aubrey holes. Archaeologists found animal remains from the ditch and post holes. These bones were used for extracting the earliest stage of Stonehenge construction</w:t>
      </w:r>
      <w:r w:rsidR="00772822">
        <w:rPr>
          <w:rFonts w:ascii="Times New Roman" w:hAnsi="Times New Roman" w:cs="Times New Roman"/>
          <w:sz w:val="24"/>
          <w:szCs w:val="24"/>
        </w:rPr>
        <w:t xml:space="preserve"> (5,000 years ago)</w:t>
      </w:r>
      <w:r w:rsidR="004D65C0">
        <w:rPr>
          <w:rFonts w:ascii="Times New Roman" w:hAnsi="Times New Roman" w:cs="Times New Roman"/>
          <w:sz w:val="24"/>
          <w:szCs w:val="24"/>
        </w:rPr>
        <w:t xml:space="preserve">. </w:t>
      </w:r>
    </w:p>
    <w:p w:rsidR="00E75038" w:rsidRDefault="00E75038" w:rsidP="007C62C7">
      <w:pPr>
        <w:pStyle w:val="ListParagraph"/>
        <w:numPr>
          <w:ilvl w:val="0"/>
          <w:numId w:val="1"/>
        </w:numPr>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Phase 2: a structure of standing timber posts was constructed near the center of monument. Remains of cremated individuals found from the ditch and some post holes. </w:t>
      </w:r>
    </w:p>
    <w:p w:rsidR="00E75038" w:rsidRDefault="00E75038" w:rsidP="007C62C7">
      <w:pPr>
        <w:pStyle w:val="ListParagraph"/>
        <w:numPr>
          <w:ilvl w:val="0"/>
          <w:numId w:val="1"/>
        </w:numPr>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Phase 3a: Bluestones measuring 2 to 2.5 meters in height were brought from Wales or roughly 240 km away. These stones were placed upright to make a semi-circular shape. </w:t>
      </w:r>
    </w:p>
    <w:p w:rsidR="00314693" w:rsidRDefault="00E75038" w:rsidP="007C62C7">
      <w:pPr>
        <w:pStyle w:val="ListParagraph"/>
        <w:numPr>
          <w:ilvl w:val="0"/>
          <w:numId w:val="1"/>
        </w:numPr>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Phase 3b: the largest stones involved in construction of Stonehenge arrive around 4,000 years ago. Some were as heav</w:t>
      </w:r>
      <w:r w:rsidR="00BB3B9E">
        <w:rPr>
          <w:rFonts w:ascii="Times New Roman" w:hAnsi="Times New Roman" w:cs="Times New Roman"/>
          <w:sz w:val="24"/>
          <w:szCs w:val="24"/>
        </w:rPr>
        <w:t>y as 5</w:t>
      </w:r>
      <w:r>
        <w:rPr>
          <w:rFonts w:ascii="Times New Roman" w:hAnsi="Times New Roman" w:cs="Times New Roman"/>
          <w:sz w:val="24"/>
          <w:szCs w:val="24"/>
        </w:rPr>
        <w:t>0 tons.</w:t>
      </w:r>
      <w:r w:rsidR="00BB3B9E">
        <w:rPr>
          <w:rFonts w:ascii="Times New Roman" w:hAnsi="Times New Roman" w:cs="Times New Roman"/>
          <w:sz w:val="24"/>
          <w:szCs w:val="24"/>
        </w:rPr>
        <w:t xml:space="preserve"> These carved sandstones were brought from 30 km away. They were placed in arrangement to make large circle. It is also known as the Sarsen circle. </w:t>
      </w:r>
    </w:p>
    <w:p w:rsidR="003E57BE" w:rsidRDefault="00314693" w:rsidP="007C62C7">
      <w:pPr>
        <w:pStyle w:val="ListParagraph"/>
        <w:numPr>
          <w:ilvl w:val="0"/>
          <w:numId w:val="1"/>
        </w:numPr>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Phases 3c-f: after the most intensive phase of Stonehenge construction, several minor stages followed in which stones were re-arranged in different shapes. </w:t>
      </w:r>
    </w:p>
    <w:p w:rsidR="003E57BE" w:rsidRDefault="003E57BE" w:rsidP="003E57BE">
      <w:pPr>
        <w:spacing w:after="0" w:line="360" w:lineRule="auto"/>
        <w:jc w:val="both"/>
        <w:rPr>
          <w:rFonts w:ascii="Times New Roman" w:hAnsi="Times New Roman" w:cs="Times New Roman"/>
          <w:sz w:val="24"/>
          <w:szCs w:val="24"/>
        </w:rPr>
      </w:pPr>
    </w:p>
    <w:p w:rsidR="00D54E04" w:rsidRDefault="003E57BE" w:rsidP="003E57B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most interesting fact about Stonehenge is that it was not an isolated monument. When archaeologists</w:t>
      </w:r>
      <w:r w:rsidR="00CD391B">
        <w:rPr>
          <w:rFonts w:ascii="Times New Roman" w:hAnsi="Times New Roman" w:cs="Times New Roman"/>
          <w:sz w:val="24"/>
          <w:szCs w:val="24"/>
        </w:rPr>
        <w:t xml:space="preserve"> extended their research beyond Stonehenge, they discovered series of other monuments and landscape features, such as the Durrington walls, Woodhenge, and the Avenue.</w:t>
      </w:r>
      <w:r w:rsidR="00DF44C3">
        <w:rPr>
          <w:rFonts w:ascii="Times New Roman" w:hAnsi="Times New Roman" w:cs="Times New Roman"/>
          <w:sz w:val="24"/>
          <w:szCs w:val="24"/>
        </w:rPr>
        <w:t xml:space="preserve"> A</w:t>
      </w:r>
      <w:r w:rsidR="007E3CFE">
        <w:rPr>
          <w:rFonts w:ascii="Times New Roman" w:hAnsi="Times New Roman" w:cs="Times New Roman"/>
          <w:sz w:val="24"/>
          <w:szCs w:val="24"/>
        </w:rPr>
        <w:t xml:space="preserve"> site associated with domestic context promises to give </w:t>
      </w:r>
      <w:r w:rsidR="008E5437">
        <w:rPr>
          <w:rFonts w:ascii="Times New Roman" w:hAnsi="Times New Roman" w:cs="Times New Roman"/>
          <w:sz w:val="24"/>
          <w:szCs w:val="24"/>
        </w:rPr>
        <w:t>many answers as to who and why this monumental landscape was built and used for over</w:t>
      </w:r>
      <w:r w:rsidR="00A6487B">
        <w:rPr>
          <w:rFonts w:ascii="Times New Roman" w:hAnsi="Times New Roman" w:cs="Times New Roman"/>
          <w:sz w:val="24"/>
          <w:szCs w:val="24"/>
        </w:rPr>
        <w:t xml:space="preserve"> 1,000 years. This site consists of series of houses directly associated with Durrington Walls. It has become known as the Stonehenge village site. </w:t>
      </w:r>
    </w:p>
    <w:p w:rsidR="00D66662" w:rsidRDefault="00F42213" w:rsidP="003E57B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Several structures, dated to the Late Neolithic, were excavated by archaeologists.</w:t>
      </w:r>
      <w:r w:rsidR="001B5B29">
        <w:rPr>
          <w:rFonts w:ascii="Times New Roman" w:hAnsi="Times New Roman" w:cs="Times New Roman"/>
          <w:sz w:val="24"/>
          <w:szCs w:val="24"/>
        </w:rPr>
        <w:t xml:space="preserve"> The results suggested that the village was occupied and used for occasional purposes. In other words, there was no evidence to suggest that people lived here year-round. Large number of animal bones was recovered but none of them were of newborn animals. This means that </w:t>
      </w:r>
      <w:r w:rsidR="00C5502A">
        <w:rPr>
          <w:rFonts w:ascii="Times New Roman" w:hAnsi="Times New Roman" w:cs="Times New Roman"/>
          <w:sz w:val="24"/>
          <w:szCs w:val="24"/>
        </w:rPr>
        <w:t xml:space="preserve">none of the consumed animals were raised on site. Rather, they were brought from other places to be </w:t>
      </w:r>
      <w:r w:rsidR="00C5502A">
        <w:rPr>
          <w:rFonts w:ascii="Times New Roman" w:hAnsi="Times New Roman" w:cs="Times New Roman"/>
          <w:sz w:val="24"/>
          <w:szCs w:val="24"/>
        </w:rPr>
        <w:lastRenderedPageBreak/>
        <w:t xml:space="preserve">consumed. In addition, no evidence of craft production or any other activity related to domestic occupation has been found so far </w:t>
      </w:r>
      <w:r w:rsidR="001B5B29">
        <w:rPr>
          <w:rFonts w:ascii="Times New Roman" w:hAnsi="Times New Roman" w:cs="Times New Roman"/>
          <w:sz w:val="24"/>
          <w:szCs w:val="24"/>
        </w:rPr>
        <w:t>(Craig et al. 2015)</w:t>
      </w:r>
      <w:r w:rsidR="00C5502A">
        <w:rPr>
          <w:rFonts w:ascii="Times New Roman" w:hAnsi="Times New Roman" w:cs="Times New Roman"/>
          <w:sz w:val="24"/>
          <w:szCs w:val="24"/>
        </w:rPr>
        <w:t xml:space="preserve">. </w:t>
      </w:r>
    </w:p>
    <w:p w:rsidR="00D66662" w:rsidRDefault="00D66662" w:rsidP="003E57B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For construction project of this scale, there should have been individuals organizing and planning each step of the process but the extent of power and authority (if any) these individuals remain invisible in the archaeological record. </w:t>
      </w:r>
    </w:p>
    <w:p w:rsidR="00E75038" w:rsidRPr="003E57BE" w:rsidRDefault="00D66662" w:rsidP="003E57B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individual buried 3 miles from Stonehenge during the 3c-f phase has been considered to provide any clue to the nature of social organization during the construction and use of the monument. Known as the Amesbury Archer, this was only one of two burials that were discovered here. Accompanied burial goods included copper knives, ceramic pots, boar tusks, arrowheads, a belt ring, and two golden earrings. No other contemporary burial could match these burial goods. For that matter, he has been considered as an individual responsible to many decision-making. However, the isotopic analysis of his skeletal remains indicated that this person was born and raised in the Alps. Instead of providing answers, this fact raised even more questions regarding his identity and </w:t>
      </w:r>
      <w:r w:rsidR="002A1327">
        <w:rPr>
          <w:rFonts w:ascii="Times New Roman" w:hAnsi="Times New Roman" w:cs="Times New Roman"/>
          <w:sz w:val="24"/>
          <w:szCs w:val="24"/>
        </w:rPr>
        <w:t xml:space="preserve">his association with Stonehenge. </w:t>
      </w:r>
      <w:bookmarkStart w:id="0" w:name="_GoBack"/>
      <w:bookmarkEnd w:id="0"/>
      <w:r>
        <w:rPr>
          <w:rFonts w:ascii="Times New Roman" w:hAnsi="Times New Roman" w:cs="Times New Roman"/>
          <w:sz w:val="24"/>
          <w:szCs w:val="24"/>
        </w:rPr>
        <w:t xml:space="preserve"> </w:t>
      </w:r>
      <w:r w:rsidR="00F42213">
        <w:rPr>
          <w:rFonts w:ascii="Times New Roman" w:hAnsi="Times New Roman" w:cs="Times New Roman"/>
          <w:sz w:val="24"/>
          <w:szCs w:val="24"/>
        </w:rPr>
        <w:t xml:space="preserve"> </w:t>
      </w:r>
      <w:r w:rsidR="00DF44C3">
        <w:rPr>
          <w:rFonts w:ascii="Times New Roman" w:hAnsi="Times New Roman" w:cs="Times New Roman"/>
          <w:sz w:val="24"/>
          <w:szCs w:val="24"/>
        </w:rPr>
        <w:t xml:space="preserve"> </w:t>
      </w:r>
      <w:r w:rsidR="00CD391B">
        <w:rPr>
          <w:rFonts w:ascii="Times New Roman" w:hAnsi="Times New Roman" w:cs="Times New Roman"/>
          <w:sz w:val="24"/>
          <w:szCs w:val="24"/>
        </w:rPr>
        <w:t xml:space="preserve"> </w:t>
      </w:r>
      <w:r w:rsidR="00E75038" w:rsidRPr="003E57BE">
        <w:rPr>
          <w:rFonts w:ascii="Times New Roman" w:hAnsi="Times New Roman" w:cs="Times New Roman"/>
          <w:sz w:val="24"/>
          <w:szCs w:val="24"/>
        </w:rPr>
        <w:t xml:space="preserve">   </w:t>
      </w:r>
    </w:p>
    <w:p w:rsidR="00F9069A" w:rsidRDefault="00923CB9" w:rsidP="00923CB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C2172C">
        <w:rPr>
          <w:rFonts w:ascii="Times New Roman" w:hAnsi="Times New Roman" w:cs="Times New Roman"/>
          <w:sz w:val="24"/>
          <w:szCs w:val="24"/>
        </w:rPr>
        <w:t xml:space="preserve"> </w:t>
      </w:r>
      <w:r w:rsidR="00790D91">
        <w:rPr>
          <w:rFonts w:ascii="Times New Roman" w:hAnsi="Times New Roman" w:cs="Times New Roman"/>
          <w:sz w:val="24"/>
          <w:szCs w:val="24"/>
        </w:rPr>
        <w:t xml:space="preserve"> </w:t>
      </w:r>
      <w:r w:rsidR="003E6185">
        <w:rPr>
          <w:rFonts w:ascii="Times New Roman" w:hAnsi="Times New Roman" w:cs="Times New Roman"/>
          <w:sz w:val="24"/>
          <w:szCs w:val="24"/>
        </w:rPr>
        <w:t xml:space="preserve"> </w:t>
      </w:r>
      <w:r w:rsidR="00927162">
        <w:rPr>
          <w:rFonts w:ascii="Times New Roman" w:hAnsi="Times New Roman" w:cs="Times New Roman"/>
          <w:sz w:val="24"/>
          <w:szCs w:val="24"/>
        </w:rPr>
        <w:t xml:space="preserve"> </w:t>
      </w:r>
      <w:r w:rsidR="00B05A6A">
        <w:rPr>
          <w:rFonts w:ascii="Times New Roman" w:hAnsi="Times New Roman" w:cs="Times New Roman"/>
          <w:sz w:val="24"/>
          <w:szCs w:val="24"/>
        </w:rPr>
        <w:t xml:space="preserve"> </w:t>
      </w:r>
      <w:r w:rsidR="00076DD2">
        <w:rPr>
          <w:rFonts w:ascii="Times New Roman" w:hAnsi="Times New Roman" w:cs="Times New Roman"/>
          <w:sz w:val="24"/>
          <w:szCs w:val="24"/>
        </w:rPr>
        <w:t xml:space="preserve"> </w:t>
      </w:r>
      <w:r w:rsidR="00193D59">
        <w:rPr>
          <w:rFonts w:ascii="Times New Roman" w:hAnsi="Times New Roman" w:cs="Times New Roman"/>
          <w:sz w:val="24"/>
          <w:szCs w:val="24"/>
        </w:rPr>
        <w:t xml:space="preserve">  </w:t>
      </w:r>
      <w:r w:rsidR="005E4D15">
        <w:rPr>
          <w:rFonts w:ascii="Times New Roman" w:hAnsi="Times New Roman" w:cs="Times New Roman"/>
          <w:sz w:val="24"/>
          <w:szCs w:val="24"/>
        </w:rPr>
        <w:t xml:space="preserve"> </w:t>
      </w:r>
    </w:p>
    <w:p w:rsidR="00F9069A" w:rsidRDefault="00F9069A" w:rsidP="00F9069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rsidR="00F9069A" w:rsidRDefault="00F9069A" w:rsidP="00F9069A">
      <w:pPr>
        <w:spacing w:after="0" w:line="360" w:lineRule="auto"/>
        <w:ind w:left="1980" w:hanging="1980"/>
        <w:jc w:val="both"/>
        <w:rPr>
          <w:rFonts w:ascii="Times New Roman" w:hAnsi="Times New Roman" w:cs="Times New Roman"/>
          <w:color w:val="202122"/>
          <w:sz w:val="24"/>
          <w:szCs w:val="24"/>
        </w:rPr>
      </w:pPr>
    </w:p>
    <w:p w:rsidR="000067D5" w:rsidRDefault="000067D5"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Bradley, R. (2007). </w:t>
      </w:r>
      <w:r w:rsidRPr="00927A0A">
        <w:rPr>
          <w:rFonts w:ascii="Times New Roman" w:hAnsi="Times New Roman" w:cs="Times New Roman"/>
          <w:i/>
          <w:color w:val="202122"/>
          <w:sz w:val="24"/>
          <w:szCs w:val="24"/>
        </w:rPr>
        <w:t>The prehistory of Britain and Ireland</w:t>
      </w:r>
      <w:r>
        <w:rPr>
          <w:rFonts w:ascii="Times New Roman" w:hAnsi="Times New Roman" w:cs="Times New Roman"/>
          <w:color w:val="202122"/>
          <w:sz w:val="24"/>
          <w:szCs w:val="24"/>
        </w:rPr>
        <w:t xml:space="preserve">. </w:t>
      </w:r>
      <w:r w:rsidR="00927A0A">
        <w:rPr>
          <w:rFonts w:ascii="Times New Roman" w:hAnsi="Times New Roman" w:cs="Times New Roman"/>
          <w:color w:val="202122"/>
          <w:sz w:val="24"/>
          <w:szCs w:val="24"/>
        </w:rPr>
        <w:t xml:space="preserve">Cambridge University Press, Cambridge.  </w:t>
      </w:r>
      <w:r>
        <w:rPr>
          <w:rFonts w:ascii="Times New Roman" w:hAnsi="Times New Roman" w:cs="Times New Roman"/>
          <w:color w:val="202122"/>
          <w:sz w:val="24"/>
          <w:szCs w:val="24"/>
        </w:rPr>
        <w:t xml:space="preserve"> </w:t>
      </w:r>
    </w:p>
    <w:p w:rsidR="00076DD2" w:rsidRDefault="00076DD2"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Brown, A. (2005). </w:t>
      </w:r>
      <w:r w:rsidRPr="00076DD2">
        <w:rPr>
          <w:rFonts w:ascii="Times New Roman" w:hAnsi="Times New Roman" w:cs="Times New Roman"/>
          <w:i/>
          <w:color w:val="202122"/>
          <w:sz w:val="24"/>
          <w:szCs w:val="24"/>
        </w:rPr>
        <w:t>Wetlands and drylands in prehistory: Mesolithic to Bronze Age human activity and impact in the Severn Estuary, southwest Britain.</w:t>
      </w:r>
      <w:r>
        <w:rPr>
          <w:rFonts w:ascii="Times New Roman" w:hAnsi="Times New Roman" w:cs="Times New Roman"/>
          <w:color w:val="202122"/>
          <w:sz w:val="24"/>
          <w:szCs w:val="24"/>
        </w:rPr>
        <w:t xml:space="preserve"> PhD dissertation, University of Reading, Reading. </w:t>
      </w:r>
    </w:p>
    <w:p w:rsidR="00F10334" w:rsidRDefault="00F10334"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Chapman, R. (1995). </w:t>
      </w:r>
      <w:r w:rsidRPr="00F10334">
        <w:rPr>
          <w:rFonts w:ascii="Times New Roman" w:hAnsi="Times New Roman" w:cs="Times New Roman"/>
          <w:i/>
          <w:color w:val="202122"/>
          <w:sz w:val="24"/>
          <w:szCs w:val="24"/>
        </w:rPr>
        <w:t>Ten years after – megaliths, mortuary practices, and the territorial model</w:t>
      </w:r>
      <w:r>
        <w:rPr>
          <w:rFonts w:ascii="Times New Roman" w:hAnsi="Times New Roman" w:cs="Times New Roman"/>
          <w:color w:val="202122"/>
          <w:sz w:val="24"/>
          <w:szCs w:val="24"/>
        </w:rPr>
        <w:t xml:space="preserve">. In Regional approaches to mortuary analysis, edited by A.Beck. Planum Press, New York. </w:t>
      </w:r>
    </w:p>
    <w:p w:rsidR="00F9069A" w:rsidRDefault="00F9069A"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Chazan, M. (2021). </w:t>
      </w:r>
      <w:r w:rsidRPr="00085BB0">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1B5B29" w:rsidRDefault="001B5B29"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Craig et al. (2015). </w:t>
      </w:r>
      <w:r w:rsidRPr="001B5B29">
        <w:rPr>
          <w:rFonts w:ascii="Times New Roman" w:hAnsi="Times New Roman" w:cs="Times New Roman"/>
          <w:i/>
          <w:color w:val="202122"/>
          <w:sz w:val="24"/>
          <w:szCs w:val="24"/>
        </w:rPr>
        <w:t>Feeding Stonehenge: cuisine and consumption at the Late Neolithic site of Durrington Walls</w:t>
      </w:r>
      <w:r>
        <w:rPr>
          <w:rFonts w:ascii="Times New Roman" w:hAnsi="Times New Roman" w:cs="Times New Roman"/>
          <w:color w:val="202122"/>
          <w:sz w:val="24"/>
          <w:szCs w:val="24"/>
        </w:rPr>
        <w:t xml:space="preserve">. Antiquity, 89: 1096-109.  </w:t>
      </w:r>
    </w:p>
    <w:p w:rsidR="000C7D6A" w:rsidRDefault="000C7D6A"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lastRenderedPageBreak/>
        <w:t xml:space="preserve">Duering, A. and Wahl, J. (2014). </w:t>
      </w:r>
      <w:r w:rsidRPr="000C7D6A">
        <w:rPr>
          <w:rFonts w:ascii="Times New Roman" w:hAnsi="Times New Roman" w:cs="Times New Roman"/>
          <w:i/>
          <w:color w:val="202122"/>
          <w:sz w:val="24"/>
          <w:szCs w:val="24"/>
        </w:rPr>
        <w:t>A massacred village community? Agent-based modelling sheds new light on the demography of the Neolithic mass grave of Talheim.</w:t>
      </w:r>
      <w:r>
        <w:rPr>
          <w:rFonts w:ascii="Times New Roman" w:hAnsi="Times New Roman" w:cs="Times New Roman"/>
          <w:color w:val="202122"/>
          <w:sz w:val="24"/>
          <w:szCs w:val="24"/>
        </w:rPr>
        <w:t xml:space="preserve"> Anthropologischer Anzeiger, 7: 447-68. </w:t>
      </w:r>
    </w:p>
    <w:p w:rsidR="00A57199" w:rsidRDefault="00A57199"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Fu, Q., Rudan, P., Pääbo, S. and Krause, J. (2012). </w:t>
      </w:r>
      <w:r w:rsidR="0042393A" w:rsidRPr="0042393A">
        <w:rPr>
          <w:rFonts w:ascii="Times New Roman" w:hAnsi="Times New Roman" w:cs="Times New Roman"/>
          <w:i/>
          <w:color w:val="202122"/>
          <w:sz w:val="24"/>
          <w:szCs w:val="24"/>
        </w:rPr>
        <w:t>Complete mitochondrial genomes reveal Neolithic expansion into Europe</w:t>
      </w:r>
      <w:r w:rsidR="0042393A">
        <w:rPr>
          <w:rFonts w:ascii="Times New Roman" w:hAnsi="Times New Roman" w:cs="Times New Roman"/>
          <w:color w:val="202122"/>
          <w:sz w:val="24"/>
          <w:szCs w:val="24"/>
        </w:rPr>
        <w:t xml:space="preserve">. PLoS ONE, 7: e32473. </w:t>
      </w:r>
    </w:p>
    <w:p w:rsidR="00055CC1" w:rsidRDefault="00055CC1"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color w:val="202122"/>
          <w:sz w:val="24"/>
          <w:szCs w:val="24"/>
        </w:rPr>
        <w:t xml:space="preserve">Golitko, M. and Keeley, L. (2007). </w:t>
      </w:r>
      <w:r w:rsidRPr="00055CC1">
        <w:rPr>
          <w:rFonts w:ascii="Times New Roman" w:hAnsi="Times New Roman" w:cs="Times New Roman"/>
          <w:i/>
          <w:color w:val="202122"/>
          <w:sz w:val="24"/>
          <w:szCs w:val="24"/>
        </w:rPr>
        <w:t>Beating ploughshares back into swords: warfare in the Linearbandkeramik</w:t>
      </w:r>
      <w:r>
        <w:rPr>
          <w:rFonts w:ascii="Times New Roman" w:hAnsi="Times New Roman" w:cs="Times New Roman"/>
          <w:color w:val="202122"/>
          <w:sz w:val="24"/>
          <w:szCs w:val="24"/>
        </w:rPr>
        <w:t xml:space="preserve">. Antiquity, 81: 332-42. </w:t>
      </w:r>
    </w:p>
    <w:p w:rsidR="00F817CB" w:rsidRDefault="00F817CB" w:rsidP="00F9069A">
      <w:pPr>
        <w:spacing w:after="0" w:line="360" w:lineRule="auto"/>
        <w:ind w:left="1980" w:hanging="1980"/>
        <w:jc w:val="both"/>
        <w:rPr>
          <w:rFonts w:ascii="Times New Roman" w:hAnsi="Times New Roman" w:cs="Times New Roman"/>
          <w:color w:val="202122"/>
          <w:sz w:val="24"/>
          <w:szCs w:val="24"/>
        </w:rPr>
      </w:pPr>
      <w:r>
        <w:rPr>
          <w:rFonts w:ascii="Times New Roman" w:hAnsi="Times New Roman" w:cs="Times New Roman"/>
          <w:sz w:val="24"/>
          <w:szCs w:val="24"/>
        </w:rPr>
        <w:t xml:space="preserve">Perlés, C. (2001). </w:t>
      </w:r>
      <w:r w:rsidRPr="00F817CB">
        <w:rPr>
          <w:rFonts w:ascii="Times New Roman" w:hAnsi="Times New Roman" w:cs="Times New Roman"/>
          <w:i/>
          <w:sz w:val="24"/>
          <w:szCs w:val="24"/>
        </w:rPr>
        <w:t>The early Neolithic in Greece: the first farming communities in Europe</w:t>
      </w:r>
      <w:r>
        <w:rPr>
          <w:rFonts w:ascii="Times New Roman" w:hAnsi="Times New Roman" w:cs="Times New Roman"/>
          <w:sz w:val="24"/>
          <w:szCs w:val="24"/>
        </w:rPr>
        <w:t xml:space="preserve">. Cambridge World Archaeology Series. Cambridge University Press, Cambridge. </w:t>
      </w:r>
    </w:p>
    <w:p w:rsidR="00C90A02" w:rsidRDefault="00D256A2" w:rsidP="00CD15B4">
      <w:pPr>
        <w:spacing w:after="0" w:line="360" w:lineRule="auto"/>
        <w:ind w:left="1980" w:hanging="1980"/>
        <w:jc w:val="both"/>
      </w:pPr>
      <w:r>
        <w:rPr>
          <w:rFonts w:ascii="Times New Roman" w:hAnsi="Times New Roman" w:cs="Times New Roman"/>
          <w:color w:val="202122"/>
          <w:sz w:val="24"/>
          <w:szCs w:val="24"/>
        </w:rPr>
        <w:t xml:space="preserve">Renfrew, C. (1990). </w:t>
      </w:r>
      <w:r w:rsidRPr="00D256A2">
        <w:rPr>
          <w:rFonts w:ascii="Times New Roman" w:hAnsi="Times New Roman" w:cs="Times New Roman"/>
          <w:i/>
          <w:color w:val="202122"/>
          <w:sz w:val="24"/>
          <w:szCs w:val="24"/>
        </w:rPr>
        <w:t>Archaeology and Language: the puzzle of Indo-European origins</w:t>
      </w:r>
      <w:r>
        <w:rPr>
          <w:rFonts w:ascii="Times New Roman" w:hAnsi="Times New Roman" w:cs="Times New Roman"/>
          <w:color w:val="202122"/>
          <w:sz w:val="24"/>
          <w:szCs w:val="24"/>
        </w:rPr>
        <w:t xml:space="preserve">. Cambridge University Press, New York. </w:t>
      </w:r>
    </w:p>
    <w:sectPr w:rsidR="00C90A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04FB2"/>
    <w:multiLevelType w:val="hybridMultilevel"/>
    <w:tmpl w:val="2FE25E5E"/>
    <w:lvl w:ilvl="0" w:tplc="0409000F">
      <w:start w:val="1"/>
      <w:numFmt w:val="decimal"/>
      <w:lvlText w:val="%1."/>
      <w:lvlJc w:val="left"/>
      <w:pPr>
        <w:ind w:left="2224" w:hanging="360"/>
      </w:pPr>
    </w:lvl>
    <w:lvl w:ilvl="1" w:tplc="04090019" w:tentative="1">
      <w:start w:val="1"/>
      <w:numFmt w:val="lowerLetter"/>
      <w:lvlText w:val="%2."/>
      <w:lvlJc w:val="left"/>
      <w:pPr>
        <w:ind w:left="2944" w:hanging="360"/>
      </w:pPr>
    </w:lvl>
    <w:lvl w:ilvl="2" w:tplc="0409001B" w:tentative="1">
      <w:start w:val="1"/>
      <w:numFmt w:val="lowerRoman"/>
      <w:lvlText w:val="%3."/>
      <w:lvlJc w:val="right"/>
      <w:pPr>
        <w:ind w:left="3664" w:hanging="180"/>
      </w:pPr>
    </w:lvl>
    <w:lvl w:ilvl="3" w:tplc="0409000F" w:tentative="1">
      <w:start w:val="1"/>
      <w:numFmt w:val="decimal"/>
      <w:lvlText w:val="%4."/>
      <w:lvlJc w:val="left"/>
      <w:pPr>
        <w:ind w:left="4384" w:hanging="360"/>
      </w:pPr>
    </w:lvl>
    <w:lvl w:ilvl="4" w:tplc="04090019" w:tentative="1">
      <w:start w:val="1"/>
      <w:numFmt w:val="lowerLetter"/>
      <w:lvlText w:val="%5."/>
      <w:lvlJc w:val="left"/>
      <w:pPr>
        <w:ind w:left="5104" w:hanging="360"/>
      </w:pPr>
    </w:lvl>
    <w:lvl w:ilvl="5" w:tplc="0409001B" w:tentative="1">
      <w:start w:val="1"/>
      <w:numFmt w:val="lowerRoman"/>
      <w:lvlText w:val="%6."/>
      <w:lvlJc w:val="right"/>
      <w:pPr>
        <w:ind w:left="5824" w:hanging="180"/>
      </w:pPr>
    </w:lvl>
    <w:lvl w:ilvl="6" w:tplc="0409000F" w:tentative="1">
      <w:start w:val="1"/>
      <w:numFmt w:val="decimal"/>
      <w:lvlText w:val="%7."/>
      <w:lvlJc w:val="left"/>
      <w:pPr>
        <w:ind w:left="6544" w:hanging="360"/>
      </w:pPr>
    </w:lvl>
    <w:lvl w:ilvl="7" w:tplc="04090019" w:tentative="1">
      <w:start w:val="1"/>
      <w:numFmt w:val="lowerLetter"/>
      <w:lvlText w:val="%8."/>
      <w:lvlJc w:val="left"/>
      <w:pPr>
        <w:ind w:left="7264" w:hanging="360"/>
      </w:pPr>
    </w:lvl>
    <w:lvl w:ilvl="8" w:tplc="0409001B" w:tentative="1">
      <w:start w:val="1"/>
      <w:numFmt w:val="lowerRoman"/>
      <w:lvlText w:val="%9."/>
      <w:lvlJc w:val="right"/>
      <w:pPr>
        <w:ind w:left="798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5BD"/>
    <w:rsid w:val="000067D5"/>
    <w:rsid w:val="00025F12"/>
    <w:rsid w:val="00045113"/>
    <w:rsid w:val="000504D9"/>
    <w:rsid w:val="00055CC1"/>
    <w:rsid w:val="00062DCA"/>
    <w:rsid w:val="00076DD2"/>
    <w:rsid w:val="000C7D6A"/>
    <w:rsid w:val="000F792E"/>
    <w:rsid w:val="00151FE8"/>
    <w:rsid w:val="00180850"/>
    <w:rsid w:val="00193D59"/>
    <w:rsid w:val="001A0406"/>
    <w:rsid w:val="001A501C"/>
    <w:rsid w:val="001B5B29"/>
    <w:rsid w:val="00291A76"/>
    <w:rsid w:val="002A1327"/>
    <w:rsid w:val="002B79E5"/>
    <w:rsid w:val="002C32E6"/>
    <w:rsid w:val="002C50D3"/>
    <w:rsid w:val="002F2E7B"/>
    <w:rsid w:val="00314693"/>
    <w:rsid w:val="00331E4A"/>
    <w:rsid w:val="003537EB"/>
    <w:rsid w:val="003538A4"/>
    <w:rsid w:val="003D5223"/>
    <w:rsid w:val="003E57BE"/>
    <w:rsid w:val="003E6185"/>
    <w:rsid w:val="0042393A"/>
    <w:rsid w:val="004A3DA7"/>
    <w:rsid w:val="004B6786"/>
    <w:rsid w:val="004D65C0"/>
    <w:rsid w:val="00504295"/>
    <w:rsid w:val="00522F63"/>
    <w:rsid w:val="00536989"/>
    <w:rsid w:val="005870B5"/>
    <w:rsid w:val="00590583"/>
    <w:rsid w:val="00593DE3"/>
    <w:rsid w:val="005A55A6"/>
    <w:rsid w:val="005D13A9"/>
    <w:rsid w:val="005E4D15"/>
    <w:rsid w:val="00607369"/>
    <w:rsid w:val="00630575"/>
    <w:rsid w:val="00642532"/>
    <w:rsid w:val="00660F02"/>
    <w:rsid w:val="006A065F"/>
    <w:rsid w:val="006A438D"/>
    <w:rsid w:val="007172C2"/>
    <w:rsid w:val="00772822"/>
    <w:rsid w:val="00790D91"/>
    <w:rsid w:val="007B0A98"/>
    <w:rsid w:val="007C62C7"/>
    <w:rsid w:val="007E3CFE"/>
    <w:rsid w:val="007E5CE5"/>
    <w:rsid w:val="00885C79"/>
    <w:rsid w:val="00886C89"/>
    <w:rsid w:val="008E5437"/>
    <w:rsid w:val="00901E03"/>
    <w:rsid w:val="00923CB9"/>
    <w:rsid w:val="00927162"/>
    <w:rsid w:val="00927A0A"/>
    <w:rsid w:val="00981622"/>
    <w:rsid w:val="009B6A44"/>
    <w:rsid w:val="009C78ED"/>
    <w:rsid w:val="00A00B91"/>
    <w:rsid w:val="00A02FE8"/>
    <w:rsid w:val="00A52108"/>
    <w:rsid w:val="00A57199"/>
    <w:rsid w:val="00A6487B"/>
    <w:rsid w:val="00A85478"/>
    <w:rsid w:val="00A91AB4"/>
    <w:rsid w:val="00A95EEB"/>
    <w:rsid w:val="00AA00B0"/>
    <w:rsid w:val="00AB25BD"/>
    <w:rsid w:val="00AC6B4F"/>
    <w:rsid w:val="00B05A6A"/>
    <w:rsid w:val="00B14E18"/>
    <w:rsid w:val="00B837EC"/>
    <w:rsid w:val="00BA3714"/>
    <w:rsid w:val="00BB3B9E"/>
    <w:rsid w:val="00BB56A1"/>
    <w:rsid w:val="00BC0627"/>
    <w:rsid w:val="00BC5DF1"/>
    <w:rsid w:val="00BE0A16"/>
    <w:rsid w:val="00BE53C5"/>
    <w:rsid w:val="00BE7DDD"/>
    <w:rsid w:val="00C035F2"/>
    <w:rsid w:val="00C11413"/>
    <w:rsid w:val="00C2172C"/>
    <w:rsid w:val="00C22027"/>
    <w:rsid w:val="00C23C08"/>
    <w:rsid w:val="00C468E6"/>
    <w:rsid w:val="00C5502A"/>
    <w:rsid w:val="00C85785"/>
    <w:rsid w:val="00C90A02"/>
    <w:rsid w:val="00CD15B4"/>
    <w:rsid w:val="00CD391B"/>
    <w:rsid w:val="00CD3C97"/>
    <w:rsid w:val="00D102C0"/>
    <w:rsid w:val="00D256A2"/>
    <w:rsid w:val="00D46B00"/>
    <w:rsid w:val="00D54E04"/>
    <w:rsid w:val="00D66662"/>
    <w:rsid w:val="00D864D4"/>
    <w:rsid w:val="00DD314A"/>
    <w:rsid w:val="00DF44C3"/>
    <w:rsid w:val="00E14CDA"/>
    <w:rsid w:val="00E24601"/>
    <w:rsid w:val="00E62D98"/>
    <w:rsid w:val="00E75038"/>
    <w:rsid w:val="00E86A34"/>
    <w:rsid w:val="00E95EDF"/>
    <w:rsid w:val="00EA3A38"/>
    <w:rsid w:val="00EC66D0"/>
    <w:rsid w:val="00EE459E"/>
    <w:rsid w:val="00EF6571"/>
    <w:rsid w:val="00F10334"/>
    <w:rsid w:val="00F25A28"/>
    <w:rsid w:val="00F3238C"/>
    <w:rsid w:val="00F42213"/>
    <w:rsid w:val="00F517F5"/>
    <w:rsid w:val="00F54181"/>
    <w:rsid w:val="00F638D7"/>
    <w:rsid w:val="00F817CB"/>
    <w:rsid w:val="00F9069A"/>
    <w:rsid w:val="00F93CEF"/>
    <w:rsid w:val="00FE7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5B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5D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C62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5B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5D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C62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35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15735</TotalTime>
  <Pages>8</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118</cp:revision>
  <dcterms:created xsi:type="dcterms:W3CDTF">2022-04-20T03:23:00Z</dcterms:created>
  <dcterms:modified xsi:type="dcterms:W3CDTF">2022-05-04T08:06:00Z</dcterms:modified>
</cp:coreProperties>
</file>