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CF762" w14:textId="77777777" w:rsidR="00DF2B19" w:rsidRDefault="00DF2B19" w:rsidP="000E4C17">
      <w:pPr>
        <w:spacing w:line="360" w:lineRule="auto"/>
        <w:jc w:val="both"/>
        <w:rPr>
          <w:rFonts w:ascii="Times New Roman" w:hAnsi="Times New Roman" w:cs="Times New Roman"/>
          <w:b/>
          <w:lang w:val="mn-MN"/>
        </w:rPr>
      </w:pPr>
    </w:p>
    <w:p w14:paraId="330B2D5D" w14:textId="77777777" w:rsidR="00DF2B19" w:rsidRDefault="00DF2B19" w:rsidP="000E4C17">
      <w:pPr>
        <w:spacing w:line="360" w:lineRule="auto"/>
        <w:jc w:val="both"/>
        <w:rPr>
          <w:rFonts w:ascii="Times New Roman" w:hAnsi="Times New Roman" w:cs="Times New Roman"/>
          <w:b/>
          <w:lang w:val="mn-MN"/>
        </w:rPr>
      </w:pPr>
    </w:p>
    <w:p w14:paraId="4ED81C8E" w14:textId="77777777" w:rsidR="00DF2B19" w:rsidRPr="00F34D50" w:rsidRDefault="00DF2B19" w:rsidP="00DF2B19">
      <w:pPr>
        <w:tabs>
          <w:tab w:val="left" w:pos="6660"/>
        </w:tabs>
        <w:spacing w:line="360" w:lineRule="auto"/>
        <w:jc w:val="both"/>
        <w:rPr>
          <w:rFonts w:ascii="Times New Roman" w:hAnsi="Times New Roman" w:cs="Times New Roman"/>
          <w:b/>
          <w:sz w:val="28"/>
          <w:szCs w:val="28"/>
          <w:lang w:val="mn-MN"/>
        </w:rPr>
      </w:pPr>
      <w:r w:rsidRPr="00F34D50">
        <w:rPr>
          <w:rFonts w:ascii="Times New Roman" w:hAnsi="Times New Roman" w:cs="Times New Roman"/>
          <w:b/>
          <w:sz w:val="28"/>
          <w:szCs w:val="28"/>
          <w:lang w:val="mn-MN"/>
        </w:rPr>
        <w:t>History of the XX Century Mongolia</w:t>
      </w:r>
    </w:p>
    <w:p w14:paraId="53CC5045" w14:textId="3743C19A"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r>
        <w:rPr>
          <w:rFonts w:ascii="Times New Roman" w:hAnsi="Times New Roman" w:cs="Times New Roman"/>
          <w:b/>
          <w:sz w:val="28"/>
          <w:szCs w:val="28"/>
          <w:lang w:val="mn-MN"/>
        </w:rPr>
        <w:t xml:space="preserve">    Lecture </w:t>
      </w:r>
      <w:r w:rsidR="008E5D8D">
        <w:rPr>
          <w:rFonts w:ascii="Times New Roman" w:hAnsi="Times New Roman" w:cs="Times New Roman"/>
          <w:b/>
          <w:sz w:val="28"/>
          <w:szCs w:val="28"/>
        </w:rPr>
        <w:t>9</w:t>
      </w:r>
      <w:r w:rsidRPr="00F34D50">
        <w:rPr>
          <w:rFonts w:ascii="Times New Roman" w:hAnsi="Times New Roman" w:cs="Times New Roman"/>
          <w:b/>
          <w:sz w:val="28"/>
          <w:szCs w:val="28"/>
          <w:lang w:val="mn-MN"/>
        </w:rPr>
        <w:t xml:space="preserve">  Notes</w:t>
      </w:r>
    </w:p>
    <w:p w14:paraId="60305B5A" w14:textId="77777777"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p>
    <w:p w14:paraId="3A2D884D" w14:textId="3B26071D" w:rsidR="00DF2B19" w:rsidRDefault="008E5D8D" w:rsidP="00DF2B19">
      <w:pPr>
        <w:rPr>
          <w:rFonts w:ascii="Times New Roman" w:hAnsi="Times New Roman" w:cs="Times New Roman"/>
        </w:rPr>
      </w:pPr>
      <w:r>
        <w:rPr>
          <w:rFonts w:ascii="Times New Roman" w:hAnsi="Times New Roman" w:cs="Times New Roman"/>
        </w:rPr>
        <w:t>1921 revolution: 5</w:t>
      </w:r>
      <w:r w:rsidR="00DF2B19">
        <w:rPr>
          <w:rFonts w:ascii="Times New Roman" w:hAnsi="Times New Roman" w:cs="Times New Roman"/>
        </w:rPr>
        <w:t xml:space="preserve">. </w:t>
      </w:r>
      <w:r>
        <w:rPr>
          <w:rFonts w:ascii="Times New Roman" w:hAnsi="Times New Roman" w:cs="Times New Roman"/>
        </w:rPr>
        <w:t>Golden clan of Chinggis Khan – Re-proclamation of independence</w:t>
      </w:r>
    </w:p>
    <w:p w14:paraId="7FD2CE6E" w14:textId="77777777" w:rsidR="00DF2B19" w:rsidRDefault="00DF2B19" w:rsidP="00DF2B19">
      <w:pPr>
        <w:rPr>
          <w:rFonts w:ascii="Times New Roman" w:hAnsi="Times New Roman" w:cs="Times New Roman"/>
          <w:b/>
        </w:rPr>
      </w:pPr>
    </w:p>
    <w:p w14:paraId="554657B5" w14:textId="77777777" w:rsidR="00DF2B19" w:rsidRDefault="00DF2B19" w:rsidP="00DF2B19">
      <w:pPr>
        <w:rPr>
          <w:rFonts w:ascii="Times New Roman" w:hAnsi="Times New Roman" w:cs="Times New Roman"/>
          <w:b/>
        </w:rPr>
      </w:pPr>
    </w:p>
    <w:p w14:paraId="069F9D70" w14:textId="317ADC35" w:rsidR="00DF2B19" w:rsidRDefault="00DF2B19" w:rsidP="00DF2B19">
      <w:pPr>
        <w:rPr>
          <w:rFonts w:ascii="Times New Roman" w:hAnsi="Times New Roman" w:cs="Times New Roman"/>
          <w:b/>
        </w:rPr>
      </w:pPr>
      <w:r w:rsidRPr="007D5CF6">
        <w:rPr>
          <w:rFonts w:ascii="Times New Roman" w:hAnsi="Times New Roman" w:cs="Times New Roman"/>
          <w:b/>
          <w:sz w:val="28"/>
          <w:szCs w:val="28"/>
          <w:lang w:val="mn-MN"/>
        </w:rPr>
        <w:t xml:space="preserve">ХХ зууны Монголын түүх </w:t>
      </w:r>
      <w:r>
        <w:rPr>
          <w:rFonts w:ascii="Times New Roman" w:hAnsi="Times New Roman" w:cs="Times New Roman"/>
          <w:b/>
          <w:sz w:val="28"/>
          <w:szCs w:val="28"/>
          <w:lang w:val="mn-MN"/>
        </w:rPr>
        <w:t>- Л</w:t>
      </w:r>
      <w:r w:rsidRPr="007D5CF6">
        <w:rPr>
          <w:rFonts w:ascii="Times New Roman" w:hAnsi="Times New Roman" w:cs="Times New Roman"/>
          <w:b/>
          <w:sz w:val="28"/>
          <w:szCs w:val="28"/>
          <w:lang w:val="mn-MN"/>
        </w:rPr>
        <w:t>екц</w:t>
      </w:r>
      <w:r>
        <w:rPr>
          <w:rFonts w:ascii="Times New Roman" w:hAnsi="Times New Roman" w:cs="Times New Roman"/>
          <w:b/>
        </w:rPr>
        <w:t xml:space="preserve">  </w:t>
      </w:r>
      <w:r w:rsidR="008E5D8D">
        <w:rPr>
          <w:rFonts w:ascii="Times New Roman" w:hAnsi="Times New Roman" w:cs="Times New Roman"/>
          <w:b/>
        </w:rPr>
        <w:t>9</w:t>
      </w:r>
    </w:p>
    <w:p w14:paraId="34678DA2" w14:textId="77777777" w:rsidR="001916D6" w:rsidRPr="007D5CF6" w:rsidRDefault="001916D6" w:rsidP="00DF2B19">
      <w:pPr>
        <w:rPr>
          <w:rFonts w:ascii="Times New Roman" w:hAnsi="Times New Roman" w:cs="Times New Roman"/>
          <w:b/>
        </w:rPr>
      </w:pPr>
    </w:p>
    <w:p w14:paraId="03B13F52" w14:textId="77777777" w:rsidR="00DF2B19" w:rsidRDefault="00DF2B19" w:rsidP="00DF2B19">
      <w:pPr>
        <w:rPr>
          <w:rFonts w:ascii="Times New Roman" w:hAnsi="Times New Roman" w:cs="Times New Roman"/>
        </w:rPr>
      </w:pPr>
    </w:p>
    <w:p w14:paraId="41D6DA7F" w14:textId="5084D65E" w:rsidR="00DF2B19" w:rsidRDefault="008E5D8D" w:rsidP="00DF2B19">
      <w:pPr>
        <w:rPr>
          <w:rFonts w:ascii="Times New Roman" w:hAnsi="Times New Roman" w:cs="Times New Roman"/>
          <w:lang w:val="mn-MN"/>
        </w:rPr>
      </w:pPr>
      <w:r>
        <w:rPr>
          <w:rFonts w:ascii="Times New Roman" w:hAnsi="Times New Roman" w:cs="Times New Roman"/>
          <w:lang w:val="mn-MN"/>
        </w:rPr>
        <w:t>1921 оны хувьсгал: 5</w:t>
      </w:r>
      <w:r w:rsidR="00DF2B19" w:rsidRPr="007D5CF6">
        <w:rPr>
          <w:rFonts w:ascii="Times New Roman" w:hAnsi="Times New Roman" w:cs="Times New Roman"/>
        </w:rPr>
        <w:t xml:space="preserve">. </w:t>
      </w:r>
      <w:r>
        <w:rPr>
          <w:rFonts w:ascii="Times New Roman" w:hAnsi="Times New Roman" w:cs="Times New Roman"/>
          <w:lang w:val="mn-MN"/>
        </w:rPr>
        <w:t xml:space="preserve">Чингис хааны алтан ураг – Тусгаар тогтнолоо сэргээн тунхагласан нь </w:t>
      </w:r>
    </w:p>
    <w:p w14:paraId="1320AAD8" w14:textId="77777777" w:rsidR="00C16084" w:rsidRDefault="00C16084" w:rsidP="00DF2B19">
      <w:pPr>
        <w:rPr>
          <w:rFonts w:ascii="Times New Roman" w:hAnsi="Times New Roman" w:cs="Times New Roman"/>
          <w:lang w:val="mn-MN"/>
        </w:rPr>
      </w:pPr>
    </w:p>
    <w:p w14:paraId="0E76393A" w14:textId="687E2EE6" w:rsidR="00F3226D" w:rsidRDefault="00F3226D" w:rsidP="00DF2B19">
      <w:pPr>
        <w:rPr>
          <w:rFonts w:ascii="Times New Roman" w:hAnsi="Times New Roman" w:cs="Times New Roman"/>
          <w:lang w:val="mn-MN"/>
        </w:rPr>
      </w:pPr>
    </w:p>
    <w:p w14:paraId="3C4E7E84" w14:textId="77777777" w:rsidR="00B82DEC" w:rsidRDefault="00774070" w:rsidP="00C16084">
      <w:pPr>
        <w:spacing w:line="360" w:lineRule="auto"/>
        <w:jc w:val="both"/>
        <w:rPr>
          <w:rFonts w:ascii="Times New Roman" w:hAnsi="Times New Roman" w:cs="Times New Roman"/>
          <w:lang w:val="mn-MN"/>
        </w:rPr>
      </w:pPr>
      <w:r>
        <w:rPr>
          <w:rFonts w:ascii="Times New Roman" w:hAnsi="Times New Roman" w:cs="Times New Roman"/>
          <w:lang w:val="mn-MN"/>
        </w:rPr>
        <w:t xml:space="preserve"> </w:t>
      </w:r>
      <w:r w:rsidR="00C16084">
        <w:rPr>
          <w:rFonts w:ascii="Times New Roman" w:hAnsi="Times New Roman" w:cs="Times New Roman"/>
          <w:lang w:val="mn-MN"/>
        </w:rPr>
        <w:t>Богд хаан нараас Орос улсад тусламж гуйж нугалбар</w:t>
      </w:r>
      <w:r>
        <w:rPr>
          <w:rFonts w:ascii="Times New Roman" w:hAnsi="Times New Roman" w:cs="Times New Roman"/>
          <w:lang w:val="mn-MN"/>
        </w:rPr>
        <w:t xml:space="preserve"> бичгээ явуулсан боловч хариу ирэлгүй 6 </w:t>
      </w:r>
      <w:r w:rsidR="00D62A99">
        <w:rPr>
          <w:rFonts w:ascii="Times New Roman" w:hAnsi="Times New Roman" w:cs="Times New Roman"/>
          <w:lang w:val="mn-MN"/>
        </w:rPr>
        <w:t>сарын хугацаа өнгөрч Орос улс туслах эсэх нь эргэлзээтэй болсон үед Ноёдын намаас өөрсдөө тусгаар тогтнолоо олж авах оролдлого хийсэн талаар өмнөх лекцэндээ тодорхой ярьсан билээ. Гэвч Ноёдын дотроос урвалт гарч Ноёдын намын гишүүдийн ихэнхи нь хятадын шоронд хоригдсон юм. Энэ хүнд үед Богд хаан болон Чингисийн алтан ургийн язгууртнууд дараа дараачийн улс төрийн алхам</w:t>
      </w:r>
      <w:r w:rsidR="00B82DEC">
        <w:rPr>
          <w:rFonts w:ascii="Times New Roman" w:hAnsi="Times New Roman" w:cs="Times New Roman"/>
          <w:lang w:val="mn-MN"/>
        </w:rPr>
        <w:t>даа шуурхайлан орсон байдаг.</w:t>
      </w:r>
    </w:p>
    <w:p w14:paraId="79D58245" w14:textId="7014CF3E" w:rsidR="00B116EE" w:rsidRDefault="00C16084" w:rsidP="00B116EE">
      <w:pPr>
        <w:spacing w:line="360" w:lineRule="auto"/>
        <w:jc w:val="both"/>
        <w:rPr>
          <w:rFonts w:ascii="Times New Roman" w:hAnsi="Times New Roman" w:cs="Times New Roman"/>
          <w:lang w:val="mn-MN"/>
        </w:rPr>
      </w:pPr>
      <w:r>
        <w:rPr>
          <w:rFonts w:ascii="Times New Roman" w:hAnsi="Times New Roman" w:cs="Times New Roman"/>
          <w:lang w:val="mn-MN"/>
        </w:rPr>
        <w:t>Богд хаан нараас Оросод гарсан улаан хувьсгалаас зугтсан цагааны офицеруудын зарим нэгэн анги нэгтгэлүүд Монголд нэвтрэн орж ирсэнийг бодитоор сонсож мэдмэгц Барон Унгернтэй холбоо тогтоох даалгаврыг Түшээт хан аймгийн Дархан чин вангийн хошууны тэргүүн зэрэг тайж Лувсанцэвээнд өгчээ. Энэ үед Барон Унгерний цэрэг Сэцэн хан аймагт орж ирсэн байлаа. Богд хаан</w:t>
      </w:r>
      <w:r w:rsidR="00A072CD">
        <w:rPr>
          <w:rFonts w:ascii="Times New Roman" w:hAnsi="Times New Roman" w:cs="Times New Roman"/>
          <w:lang w:val="mn-MN"/>
        </w:rPr>
        <w:t>, алтан ургийн язгууртнууд</w:t>
      </w:r>
      <w:r>
        <w:rPr>
          <w:rFonts w:ascii="Times New Roman" w:hAnsi="Times New Roman" w:cs="Times New Roman"/>
          <w:lang w:val="mn-MN"/>
        </w:rPr>
        <w:t xml:space="preserve"> юуны түрүүн ван, гүн, ноёдоо Хятадын гараас амьд мултлах, боломж гарвал тусгаар тогтнолоо эргүүлэн олж авах зорилго бүхий байлаа. Тайж Лувсанцэвээн Барон Унгернтэй холбоо </w:t>
      </w:r>
      <w:r w:rsidR="00B116EE">
        <w:rPr>
          <w:rFonts w:ascii="Times New Roman" w:hAnsi="Times New Roman" w:cs="Times New Roman"/>
          <w:lang w:val="mn-MN"/>
        </w:rPr>
        <w:t>амжилттай тогтоожээ.</w:t>
      </w:r>
      <w:r>
        <w:rPr>
          <w:rFonts w:ascii="Times New Roman" w:hAnsi="Times New Roman" w:cs="Times New Roman"/>
          <w:lang w:val="mn-MN"/>
        </w:rPr>
        <w:t xml:space="preserve"> </w:t>
      </w:r>
    </w:p>
    <w:p w14:paraId="680E8A3B" w14:textId="77777777" w:rsidR="00B2216C" w:rsidRDefault="00B116EE" w:rsidP="00C16084">
      <w:pPr>
        <w:spacing w:line="360" w:lineRule="auto"/>
        <w:jc w:val="both"/>
        <w:rPr>
          <w:rFonts w:ascii="Times New Roman" w:hAnsi="Times New Roman" w:cs="Times New Roman"/>
          <w:lang w:val="mn-MN"/>
        </w:rPr>
      </w:pPr>
      <w:r>
        <w:rPr>
          <w:rFonts w:ascii="Times New Roman" w:hAnsi="Times New Roman" w:cs="Times New Roman"/>
          <w:lang w:val="mn-MN"/>
        </w:rPr>
        <w:t xml:space="preserve">Хятадууд цагаантны хүчтэй </w:t>
      </w:r>
      <w:r w:rsidR="004F5E23">
        <w:rPr>
          <w:rFonts w:ascii="Times New Roman" w:hAnsi="Times New Roman" w:cs="Times New Roman"/>
          <w:lang w:val="mn-MN"/>
        </w:rPr>
        <w:t xml:space="preserve">холбоо тогтоосныг мэдмэгц </w:t>
      </w:r>
      <w:r w:rsidR="00C16084">
        <w:rPr>
          <w:rFonts w:ascii="Times New Roman" w:hAnsi="Times New Roman" w:cs="Times New Roman"/>
          <w:lang w:val="mn-MN"/>
        </w:rPr>
        <w:t xml:space="preserve">Богд хааныг шадар сайдуудынх нь хамт баривчлан Богд хааныг Хятад яамны дэргэдэх нэгэн байшинд хорьж харин шадар сайдууд Дүйнхорын Да лам Пунцагдорж, Сэцэн ван Гүрсоронзонгомбосүрэн, Эрдэнэ ван Намсрай, бэйс Иш-Очир нарыг урьдын </w:t>
      </w:r>
      <w:r w:rsidR="00C16084">
        <w:rPr>
          <w:rFonts w:ascii="Times New Roman" w:hAnsi="Times New Roman" w:cs="Times New Roman"/>
          <w:lang w:val="mn-MN"/>
        </w:rPr>
        <w:lastRenderedPageBreak/>
        <w:t>баригдсан ван, гүнгүүдийн хамтаар шоронд хорьжээ. Монголын цэргийн удирдагч тайж Лувсанцэвээн Хүрээ рүү цэрэг хөдөлгөхийн өмнө Богд хааны амь насыг баталгаатай болгох асуудлыг хэлэлцэж түүний биеийг нууцаар суллан авах ажиллагааг зохион байгуул</w:t>
      </w:r>
      <w:r w:rsidR="004F5E23">
        <w:rPr>
          <w:rFonts w:ascii="Times New Roman" w:hAnsi="Times New Roman" w:cs="Times New Roman"/>
          <w:lang w:val="mn-MN"/>
        </w:rPr>
        <w:t>сан юм</w:t>
      </w:r>
      <w:r w:rsidR="00C16084">
        <w:rPr>
          <w:rFonts w:ascii="Times New Roman" w:hAnsi="Times New Roman" w:cs="Times New Roman"/>
          <w:lang w:val="mn-MN"/>
        </w:rPr>
        <w:t xml:space="preserve">. Цэргийн дотроос хамгийн шаламгай 70 гаруй эрсийг шилэн сонгож Богд хааныг оргуулан авах даалгавар өгчээ. Тэдгээр цэргүүд Богд хан уулын дундуур давж Хүрээ рүү нууцаар орохдоо замд тааралдсан хятад цэргүүдийг хядаж Их Тэнгэрийн амаар орж ирэхдээ нууцаар хүн илгээж Богд хаан чухам ямар газар хоригдож буйг мэдэж авчээ. Үүний дараа цэргүүд буун дуу гарган сүрийг үзүүлж Богд хааны буй газар луу  довтлоход хятадын олонхи цэргүүд Орос, Монголын цэрэг орж ирж байна хэмээн андуурч хэсэг зуур зугтсан хойгуур Богдыг харгалзан хянаж байсан олон хятад цэргүүдтэй монгол цэргүүд нүүр тулан эрэлхэгээр байлдав. Хүч тэнцүү биш энэхүү тулалдаанд тусгайлан бэлтгэгдсэн шилдэг монгол цэргүүд ялалт байгуулж  Богд хаанаа </w:t>
      </w:r>
      <w:r w:rsidR="004F5E23">
        <w:rPr>
          <w:rFonts w:ascii="Times New Roman" w:hAnsi="Times New Roman" w:cs="Times New Roman"/>
          <w:lang w:val="mn-MN"/>
        </w:rPr>
        <w:t>эх дагин</w:t>
      </w:r>
      <w:r w:rsidR="004F5E23">
        <w:rPr>
          <w:rFonts w:ascii="Times New Roman" w:hAnsi="Times New Roman" w:cs="Times New Roman"/>
          <w:lang w:val="mn-MN"/>
        </w:rPr>
        <w:t>ы хамт авч</w:t>
      </w:r>
      <w:r w:rsidR="00C16084">
        <w:rPr>
          <w:rFonts w:ascii="Times New Roman" w:hAnsi="Times New Roman" w:cs="Times New Roman"/>
          <w:lang w:val="mn-MN"/>
        </w:rPr>
        <w:t xml:space="preserve"> Манзушир хийдэд залсан байна. Богд хаан, эх дагина хоёроо хамгаалахад олон монгол цэргийн амь нас сүйдсэн хэдий ч Богд хаанаа аварна гэдэг бол ялалтын тугаа хамгаалан авч үлдсэнтэй адил агуу том гавьяа байсан юм. Хятадын удирдлагууд Богд хааныг алдсаныг мэдэж байдал хүндэрч байгааг ухаарч ихэд балмагдаж байсан үед Орос, Монгол нийлсэн 13 мянган цэрэг Хүрээг довтлох гэж байгаа тухай цуу мэдээг монгол цэргийн хуарангаас тараасан нь давхар цохилт болжээ. Барон Унгерн болон жанжин Лувсанцэвээний цэргүүд Нийслэл хүрээг эзлэхээр </w:t>
      </w:r>
      <w:r w:rsidR="00B2216C">
        <w:rPr>
          <w:rFonts w:ascii="Times New Roman" w:hAnsi="Times New Roman" w:cs="Times New Roman"/>
          <w:lang w:val="mn-MN"/>
        </w:rPr>
        <w:t xml:space="preserve">довтлохын өмнө </w:t>
      </w:r>
      <w:r w:rsidR="00C16084">
        <w:rPr>
          <w:rFonts w:ascii="Times New Roman" w:hAnsi="Times New Roman" w:cs="Times New Roman"/>
          <w:lang w:val="mn-MN"/>
        </w:rPr>
        <w:t xml:space="preserve">Барон Унгерн Монголын хамгийн чадамгай цэргүүдийг урдаа түлхэж оруулах зорилгоор гүн Найданжавт довтолгоо эхэлсэн гэсэн ташаа мэдээ хүргүүлжээ. Мэдээг авмагц гүн Найданжав Чингисийн үеийн дайн тулааны аргыг хэрэглэж Хүрхрээгийн амнаас Хүүшийн ам хүртэл модны дотор ойр ойрхон гал түлсэн нь олон цэргийн гал мэт их сүрийг үзүүлж хятадуудад сэтгэл зүйн дайралт хийсэн байна. Маргааш нь хятадын цэргүүд монгол цэргүүдийг орж ирэхэд үхэр буугаар дал шахам удаа буудсан хэдий ч сум битүүгээр унаж нэг ч сум дэлбэрээгүй ажээ. </w:t>
      </w:r>
    </w:p>
    <w:p w14:paraId="0EF37F5D" w14:textId="62B272E6" w:rsidR="00C16084" w:rsidRDefault="00C16084" w:rsidP="00C16084">
      <w:pPr>
        <w:spacing w:line="360" w:lineRule="auto"/>
        <w:jc w:val="both"/>
        <w:rPr>
          <w:rFonts w:ascii="Times New Roman" w:hAnsi="Times New Roman" w:cs="Times New Roman"/>
          <w:lang w:val="mn-MN"/>
        </w:rPr>
      </w:pPr>
      <w:r>
        <w:rPr>
          <w:rFonts w:ascii="Times New Roman" w:hAnsi="Times New Roman" w:cs="Times New Roman"/>
          <w:lang w:val="mn-MN"/>
        </w:rPr>
        <w:t>Үүний араас жанжин Лувсанцэвээн, Барон Унгерний цэргүүд Хүрээнд орсоноор хятад цэргийн хүчирхийллээс Хүрээг чөлөөлжээ. Хүрээг чөлөөлмөгц юуны түрүүнд ноёдын бүлгэмийн гишүүд</w:t>
      </w:r>
      <w:r w:rsidR="00B2216C">
        <w:rPr>
          <w:rFonts w:ascii="Times New Roman" w:hAnsi="Times New Roman" w:cs="Times New Roman"/>
          <w:lang w:val="mn-MN"/>
        </w:rPr>
        <w:t>ээ суллан авчээ.</w:t>
      </w:r>
      <w:r>
        <w:rPr>
          <w:rFonts w:ascii="Times New Roman" w:hAnsi="Times New Roman" w:cs="Times New Roman"/>
          <w:lang w:val="mn-MN"/>
        </w:rPr>
        <w:t xml:space="preserve"> Харамсалтай нь манлай баатар Дамдинсүрэн эмгэнэлтэйгээр нас барсан байв. </w:t>
      </w:r>
    </w:p>
    <w:p w14:paraId="2E69D4A6" w14:textId="77777777" w:rsidR="00C16084" w:rsidRDefault="00C16084" w:rsidP="00C16084">
      <w:pPr>
        <w:spacing w:line="360" w:lineRule="auto"/>
        <w:jc w:val="both"/>
        <w:rPr>
          <w:rFonts w:ascii="Times New Roman" w:hAnsi="Times New Roman" w:cs="Times New Roman"/>
          <w:lang w:val="mn-MN"/>
        </w:rPr>
      </w:pPr>
      <w:r>
        <w:rPr>
          <w:rFonts w:ascii="Times New Roman" w:hAnsi="Times New Roman" w:cs="Times New Roman"/>
          <w:lang w:val="mn-MN"/>
        </w:rPr>
        <w:lastRenderedPageBreak/>
        <w:t xml:space="preserve">          Ийнхүү Хүрээг чөлөөлөхдөө </w:t>
      </w:r>
      <w:r w:rsidRPr="0006573F">
        <w:rPr>
          <w:rFonts w:ascii="Times New Roman" w:hAnsi="Times New Roman" w:cs="Times New Roman"/>
          <w:b/>
          <w:lang w:val="mn-MN"/>
        </w:rPr>
        <w:t>монгол цэргүүд Монгол төрийнхөө ша</w:t>
      </w:r>
      <w:r>
        <w:rPr>
          <w:rFonts w:ascii="Times New Roman" w:hAnsi="Times New Roman" w:cs="Times New Roman"/>
          <w:b/>
          <w:lang w:val="mn-MN"/>
        </w:rPr>
        <w:t xml:space="preserve">р хамбан тугаа намируулан дун </w:t>
      </w:r>
      <w:r w:rsidRPr="0006573F">
        <w:rPr>
          <w:rFonts w:ascii="Times New Roman" w:hAnsi="Times New Roman" w:cs="Times New Roman"/>
          <w:b/>
          <w:lang w:val="mn-MN"/>
        </w:rPr>
        <w:t>бүрээгээ татаж орж ирсэн юм</w:t>
      </w:r>
      <w:r>
        <w:rPr>
          <w:rFonts w:ascii="Times New Roman" w:hAnsi="Times New Roman" w:cs="Times New Roman"/>
          <w:lang w:val="mn-MN"/>
        </w:rPr>
        <w:t xml:space="preserve">. Сайн өдрийг сонгож 1921 оны 2 сарын 22-нд Богд хааныгаа эргүүлэн залж засгийн газрын таван яамдыг байгуулж, Дотоод яамны тэргүүн сайдад Засагт хан аймгийн Жалханз хутагт Дамдинбазар, Гадаад яамны тэргүүн сайдад Шавийн Шанздаб Дашжав, Цэргийн яамны тэргүүн сайдад Сэцэн хан аймгийн бишрэлт гүн Доржцэрэн, Сангийн яамны тэргүүн сайдад Түшээн хан аймгийн тэргүүн зэрэг тайж Лувсанцэвээн, Шүүх яамны тэргүүн сайдад Сайнноён хан аймгийн бэйс Чимиддорж нарыг томилжээ. Бүх цэргийн жанжнаар Хатанбаатар ван Магсаржавыг томилсон байна. Мөн Барон Унгернд ханы зэрэг, дархан хошой чин вангийн хэргэм ногоон жууз, шар хүрэм, жолоо, улсыг мандуулагч их баатар жанжин цол, монгол жанжин Лувсанцэвээнд чин вангийн хэргэм, шар хүрэм, хүрэн жолоо, </w:t>
      </w:r>
      <w:r w:rsidRPr="002C5622">
        <w:rPr>
          <w:rFonts w:ascii="Times New Roman" w:hAnsi="Times New Roman" w:cs="Times New Roman"/>
          <w:b/>
          <w:lang w:val="mn-MN"/>
        </w:rPr>
        <w:t>бат ерөөлт жанжин цолоор шагнажээ.</w:t>
      </w:r>
      <w:r>
        <w:rPr>
          <w:rFonts w:ascii="Times New Roman" w:hAnsi="Times New Roman" w:cs="Times New Roman"/>
          <w:lang w:val="mn-MN"/>
        </w:rPr>
        <w:t xml:space="preserve"> Хүрээнд болж буй энэхүү улс төрийн үйл явц нь Монголоос тусламж гуйн ирсэн төлөөлөгчдийг өөрсдийн хэтийн зорилгодоо ашиглах улаан Оросын үйл ажиллагааг идэвхижүүлжээ.  </w:t>
      </w:r>
    </w:p>
    <w:p w14:paraId="2D0FB12F" w14:textId="77777777" w:rsidR="00C16084" w:rsidRDefault="00C16084" w:rsidP="00C16084">
      <w:pPr>
        <w:spacing w:line="360" w:lineRule="auto"/>
        <w:rPr>
          <w:rFonts w:ascii="Times New Roman" w:hAnsi="Times New Roman" w:cs="Times New Roman"/>
          <w:lang w:val="mn-MN"/>
        </w:rPr>
      </w:pPr>
    </w:p>
    <w:p w14:paraId="26AAFCAF" w14:textId="77777777" w:rsidR="00DF2B19" w:rsidRDefault="00DF2B19" w:rsidP="00DF2B19">
      <w:pPr>
        <w:rPr>
          <w:rFonts w:ascii="Times New Roman" w:hAnsi="Times New Roman" w:cs="Times New Roman"/>
          <w:b/>
        </w:rPr>
      </w:pPr>
    </w:p>
    <w:p w14:paraId="2714AFEC" w14:textId="77777777" w:rsidR="00EA4CDB" w:rsidRDefault="00EA4CDB" w:rsidP="00EA4CDB">
      <w:pPr>
        <w:tabs>
          <w:tab w:val="left" w:pos="6660"/>
        </w:tabs>
        <w:spacing w:line="360" w:lineRule="auto"/>
        <w:ind w:left="-180"/>
        <w:rPr>
          <w:rFonts w:ascii="Times New Roman" w:hAnsi="Times New Roman" w:cs="Times New Roman"/>
          <w:b/>
          <w:lang w:val="mn-MN"/>
        </w:rPr>
      </w:pPr>
      <w:r w:rsidRPr="00D70817">
        <w:rPr>
          <w:rFonts w:ascii="Times New Roman" w:hAnsi="Times New Roman" w:cs="Times New Roman"/>
          <w:b/>
          <w:lang w:val="mn-MN"/>
        </w:rPr>
        <w:t>References</w:t>
      </w:r>
    </w:p>
    <w:p w14:paraId="5FADB7B1" w14:textId="77777777" w:rsidR="00EA4CDB" w:rsidRPr="00D70817" w:rsidRDefault="00EA4CDB" w:rsidP="00EA4CDB">
      <w:pPr>
        <w:tabs>
          <w:tab w:val="left" w:pos="6660"/>
        </w:tabs>
        <w:spacing w:line="360" w:lineRule="auto"/>
        <w:ind w:left="-180"/>
        <w:rPr>
          <w:rFonts w:ascii="Times New Roman" w:hAnsi="Times New Roman" w:cs="Times New Roman"/>
          <w:b/>
          <w:lang w:val="mn-MN"/>
        </w:rPr>
      </w:pPr>
    </w:p>
    <w:p w14:paraId="266CDBAB" w14:textId="3D954DA0" w:rsidR="00EA4CDB" w:rsidRPr="00D70817" w:rsidRDefault="00EA4CDB" w:rsidP="00EA4CDB">
      <w:pPr>
        <w:pStyle w:val="ListParagraph"/>
        <w:numPr>
          <w:ilvl w:val="0"/>
          <w:numId w:val="1"/>
        </w:numPr>
        <w:tabs>
          <w:tab w:val="left" w:pos="6660"/>
        </w:tabs>
        <w:spacing w:after="0" w:line="360" w:lineRule="auto"/>
        <w:rPr>
          <w:rFonts w:ascii="Times New Roman" w:hAnsi="Times New Roman" w:cs="Times New Roman"/>
          <w:sz w:val="24"/>
          <w:szCs w:val="24"/>
          <w:lang w:val="mn-MN"/>
        </w:rPr>
      </w:pPr>
      <w:r>
        <w:rPr>
          <w:rFonts w:ascii="Times New Roman" w:hAnsi="Times New Roman"/>
          <w:szCs w:val="24"/>
          <w:lang w:val="mn-MN"/>
        </w:rPr>
        <w:t xml:space="preserve"> </w:t>
      </w:r>
      <w:r w:rsidR="00DC596C">
        <w:rPr>
          <w:rFonts w:ascii="Times New Roman" w:hAnsi="Times New Roman"/>
          <w:szCs w:val="24"/>
          <w:lang w:val="mn-MN"/>
        </w:rPr>
        <w:t>ХХ зууны Монголын түүхийг шинээр эргэн харахуй, Отгонжаргал С, Адмон хэвлэлийн газар, 2003</w:t>
      </w:r>
    </w:p>
    <w:p w14:paraId="3933E4D8" w14:textId="77777777" w:rsidR="00EA4CDB" w:rsidRPr="00D70817" w:rsidRDefault="00EA4CDB" w:rsidP="00EA4CDB">
      <w:pPr>
        <w:pStyle w:val="ListParagraph"/>
        <w:numPr>
          <w:ilvl w:val="0"/>
          <w:numId w:val="1"/>
        </w:numPr>
        <w:tabs>
          <w:tab w:val="left" w:pos="6660"/>
        </w:tabs>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Монгол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улсын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шинэ</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түүх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Магсаржав</w:t>
      </w:r>
      <w:proofErr w:type="spellEnd"/>
      <w:r>
        <w:rPr>
          <w:rFonts w:ascii="Times New Roman" w:hAnsi="Times New Roman" w:cs="Times New Roman"/>
          <w:sz w:val="24"/>
          <w:szCs w:val="24"/>
        </w:rPr>
        <w:t xml:space="preserve"> Н, </w:t>
      </w:r>
      <w:proofErr w:type="spellStart"/>
      <w:r>
        <w:rPr>
          <w:rFonts w:ascii="Times New Roman" w:hAnsi="Times New Roman" w:cs="Times New Roman"/>
          <w:sz w:val="24"/>
          <w:szCs w:val="24"/>
        </w:rPr>
        <w:t>Монсудар</w:t>
      </w:r>
      <w:proofErr w:type="spellEnd"/>
      <w:r>
        <w:rPr>
          <w:rFonts w:ascii="Times New Roman" w:hAnsi="Times New Roman" w:cs="Times New Roman"/>
          <w:sz w:val="24"/>
          <w:szCs w:val="24"/>
        </w:rPr>
        <w:t>, 2010</w:t>
      </w:r>
    </w:p>
    <w:p w14:paraId="08AC9D52" w14:textId="77777777" w:rsidR="00DF2B19" w:rsidRDefault="00DF2B19" w:rsidP="00DF2B19">
      <w:pPr>
        <w:rPr>
          <w:rFonts w:ascii="Times New Roman" w:hAnsi="Times New Roman" w:cs="Times New Roman"/>
          <w:b/>
        </w:rPr>
      </w:pPr>
    </w:p>
    <w:p w14:paraId="1A01B547" w14:textId="6A71A548" w:rsidR="00F3226D" w:rsidRDefault="000E4C17" w:rsidP="00F3226D">
      <w:pPr>
        <w:spacing w:line="360" w:lineRule="auto"/>
        <w:jc w:val="both"/>
      </w:pPr>
      <w:r>
        <w:rPr>
          <w:rFonts w:ascii="Times New Roman" w:hAnsi="Times New Roman" w:cs="Times New Roman"/>
          <w:b/>
          <w:lang w:val="mn-MN"/>
        </w:rPr>
        <w:t xml:space="preserve"> </w:t>
      </w:r>
    </w:p>
    <w:p w14:paraId="17C4F527" w14:textId="4932552E" w:rsidR="007D0A56" w:rsidRDefault="007D0A56" w:rsidP="000E4C17"/>
    <w:sectPr w:rsidR="007D0A56"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Times New Roman Mon">
    <w:altName w:val="Times New Roman"/>
    <w:panose1 w:val="020B0604020202020204"/>
    <w:charset w:val="00"/>
    <w:family w:val="roman"/>
    <w:pitch w:val="variable"/>
    <w:sig w:usb0="00000007" w:usb1="00000000" w:usb2="00000000" w:usb3="00000000" w:csb0="00000003"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16cid:durableId="383649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17"/>
    <w:rsid w:val="000E4C17"/>
    <w:rsid w:val="001916D6"/>
    <w:rsid w:val="002C64D7"/>
    <w:rsid w:val="0049228F"/>
    <w:rsid w:val="004D3528"/>
    <w:rsid w:val="004F5E23"/>
    <w:rsid w:val="005D217E"/>
    <w:rsid w:val="00774070"/>
    <w:rsid w:val="007D0A56"/>
    <w:rsid w:val="00871EAF"/>
    <w:rsid w:val="008E5D8D"/>
    <w:rsid w:val="00A072CD"/>
    <w:rsid w:val="00AD028F"/>
    <w:rsid w:val="00B116EE"/>
    <w:rsid w:val="00B2216C"/>
    <w:rsid w:val="00B82DEC"/>
    <w:rsid w:val="00C16084"/>
    <w:rsid w:val="00D62A99"/>
    <w:rsid w:val="00DC596C"/>
    <w:rsid w:val="00DF2B19"/>
    <w:rsid w:val="00E71E35"/>
    <w:rsid w:val="00EA4CDB"/>
    <w:rsid w:val="00F322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E666A3"/>
  <w14:defaultImageDpi w14:val="300"/>
  <w15:docId w15:val="{FB8957E6-8DDB-A84E-AB32-3138AA42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C17"/>
    <w:pPr>
      <w:spacing w:after="200" w:line="276" w:lineRule="auto"/>
      <w:ind w:left="720"/>
      <w:contextualSpacing/>
    </w:pPr>
    <w:rPr>
      <w:rFonts w:eastAsiaTheme="minorHAnsi"/>
      <w:sz w:val="22"/>
      <w:szCs w:val="22"/>
    </w:rPr>
  </w:style>
  <w:style w:type="paragraph" w:styleId="BodyText">
    <w:name w:val="Body Text"/>
    <w:basedOn w:val="Normal"/>
    <w:link w:val="BodyTextChar"/>
    <w:rsid w:val="000E4C17"/>
    <w:pPr>
      <w:spacing w:line="360" w:lineRule="auto"/>
    </w:pPr>
    <w:rPr>
      <w:rFonts w:ascii="Times New Roman Mon" w:eastAsia="Times New Roman" w:hAnsi="Times New Roman Mon" w:cs="Times New Roman"/>
      <w:szCs w:val="20"/>
      <w:lang w:val="ru-RU"/>
    </w:rPr>
  </w:style>
  <w:style w:type="character" w:customStyle="1" w:styleId="BodyTextChar">
    <w:name w:val="Body Text Char"/>
    <w:basedOn w:val="DefaultParagraphFont"/>
    <w:link w:val="BodyText"/>
    <w:rsid w:val="000E4C17"/>
    <w:rPr>
      <w:rFonts w:ascii="Times New Roman Mon" w:eastAsia="Times New Roman" w:hAnsi="Times New Roman Mon" w:cs="Times New Roman"/>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8</cp:revision>
  <dcterms:created xsi:type="dcterms:W3CDTF">2022-04-19T04:05:00Z</dcterms:created>
  <dcterms:modified xsi:type="dcterms:W3CDTF">2022-04-22T07:54:00Z</dcterms:modified>
</cp:coreProperties>
</file>