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AB0" w:rsidRDefault="004178DC" w:rsidP="004178D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4178DC">
        <w:rPr>
          <w:rFonts w:ascii="Times New Roman" w:hAnsi="Times New Roman" w:cs="Times New Roman"/>
          <w:b/>
          <w:bCs/>
          <w:sz w:val="32"/>
          <w:szCs w:val="32"/>
        </w:rPr>
        <w:t>Sustai</w:t>
      </w:r>
      <w:proofErr w:type="spellEnd"/>
    </w:p>
    <w:p w:rsidR="004178DC" w:rsidRPr="004178DC" w:rsidRDefault="004178DC" w:rsidP="004178D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4178DC">
        <w:rPr>
          <w:rFonts w:ascii="Times New Roman" w:hAnsi="Times New Roman" w:cs="Times New Roman"/>
          <w:b/>
          <w:bCs/>
          <w:sz w:val="32"/>
          <w:szCs w:val="32"/>
        </w:rPr>
        <w:t>nable Finance – Postgraduate Exam Answers (Analytical – 20 Marks Each)</w:t>
      </w:r>
    </w:p>
    <w:p w:rsid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Question 1: ESG Integration and Financial Performance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(20 marks)</w:t>
      </w: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a) Theoretical Justification for Integrating ESG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The integration of ESG into investment analysis is grounded in several theories:</w:t>
      </w:r>
    </w:p>
    <w:p w:rsidR="004178DC" w:rsidRPr="004178DC" w:rsidRDefault="004178DC" w:rsidP="004178D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Stakeholder Theory</w:t>
      </w:r>
      <w:r w:rsidRPr="004178DC">
        <w:rPr>
          <w:rFonts w:ascii="Times New Roman" w:hAnsi="Times New Roman" w:cs="Times New Roman"/>
          <w:sz w:val="24"/>
          <w:szCs w:val="24"/>
        </w:rPr>
        <w:t xml:space="preserve"> posits that firms should consider the interests of all stakeholders (employees, communities, environment) rather than just shareholders. ESG helps align business practices with broader societal expectations.</w:t>
      </w:r>
    </w:p>
    <w:p w:rsidR="004178DC" w:rsidRPr="004178DC" w:rsidRDefault="004178DC" w:rsidP="004178D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Resource-Based View (RBV)</w:t>
      </w:r>
      <w:r w:rsidRPr="004178DC">
        <w:rPr>
          <w:rFonts w:ascii="Times New Roman" w:hAnsi="Times New Roman" w:cs="Times New Roman"/>
          <w:sz w:val="24"/>
          <w:szCs w:val="24"/>
        </w:rPr>
        <w:t xml:space="preserve"> suggests that firms with strong ESG credentials (e.g., ethical governance, employee satisfaction) gain competitive advantages such as brand loyalty, operational efficiency, and talent retention.</w:t>
      </w:r>
    </w:p>
    <w:p w:rsidR="004178DC" w:rsidRPr="004178DC" w:rsidRDefault="004178DC" w:rsidP="004178D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Modern Portfolio Theory (MPT)</w:t>
      </w:r>
      <w:r w:rsidRPr="004178DC">
        <w:rPr>
          <w:rFonts w:ascii="Times New Roman" w:hAnsi="Times New Roman" w:cs="Times New Roman"/>
          <w:sz w:val="24"/>
          <w:szCs w:val="24"/>
        </w:rPr>
        <w:t xml:space="preserve"> increasingly incorporates ESG as a risk factor. Firms with poor ESG performance may face regulatory fines, reputational damage, or operational disruption—all of which affect beta, cost of capital, and valuation.</w:t>
      </w:r>
    </w:p>
    <w:p w:rsidR="004178DC" w:rsidRPr="004178DC" w:rsidRDefault="004178DC" w:rsidP="004178D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Signaling Theory</w:t>
      </w:r>
      <w:r w:rsidRPr="004178DC">
        <w:rPr>
          <w:rFonts w:ascii="Times New Roman" w:hAnsi="Times New Roman" w:cs="Times New Roman"/>
          <w:sz w:val="24"/>
          <w:szCs w:val="24"/>
        </w:rPr>
        <w:t xml:space="preserve"> suggests that ESG disclosures signal transparency, long-termism, and effective risk management—attractive qualities for investors.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b) Challenges in Measuring ESG Performance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Data Inconsistency:</w:t>
      </w:r>
      <w:r w:rsidRPr="004178DC">
        <w:rPr>
          <w:rFonts w:ascii="Times New Roman" w:hAnsi="Times New Roman" w:cs="Times New Roman"/>
          <w:sz w:val="24"/>
          <w:szCs w:val="24"/>
        </w:rPr>
        <w:t xml:space="preserve"> ESG scores vary across providers (e.g., MSCI vs. </w:t>
      </w:r>
      <w:proofErr w:type="spellStart"/>
      <w:r w:rsidRPr="004178DC">
        <w:rPr>
          <w:rFonts w:ascii="Times New Roman" w:hAnsi="Times New Roman" w:cs="Times New Roman"/>
          <w:sz w:val="24"/>
          <w:szCs w:val="24"/>
        </w:rPr>
        <w:t>Sustainalytics</w:t>
      </w:r>
      <w:proofErr w:type="spellEnd"/>
      <w:r w:rsidRPr="004178DC">
        <w:rPr>
          <w:rFonts w:ascii="Times New Roman" w:hAnsi="Times New Roman" w:cs="Times New Roman"/>
          <w:sz w:val="24"/>
          <w:szCs w:val="24"/>
        </w:rPr>
        <w:t>), leading to confusion among investors and analysts.</w:t>
      </w:r>
    </w:p>
    <w:p w:rsidR="004178DC" w:rsidRPr="004178DC" w:rsidRDefault="004178DC" w:rsidP="004178D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Non-standard Metrics:</w:t>
      </w:r>
      <w:r w:rsidRPr="004178DC">
        <w:rPr>
          <w:rFonts w:ascii="Times New Roman" w:hAnsi="Times New Roman" w:cs="Times New Roman"/>
          <w:sz w:val="24"/>
          <w:szCs w:val="24"/>
        </w:rPr>
        <w:t xml:space="preserve"> Different industries and geographies prioritize different ESG aspects, making comparability difficult.</w:t>
      </w:r>
    </w:p>
    <w:p w:rsidR="004178DC" w:rsidRPr="004178DC" w:rsidRDefault="004178DC" w:rsidP="004178D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Greenwashing Risk:</w:t>
      </w:r>
      <w:r w:rsidRPr="004178DC">
        <w:rPr>
          <w:rFonts w:ascii="Times New Roman" w:hAnsi="Times New Roman" w:cs="Times New Roman"/>
          <w:sz w:val="24"/>
          <w:szCs w:val="24"/>
        </w:rPr>
        <w:t xml:space="preserve"> Firms may selectively disclose positive ESG metrics without addressing key negative externalities.</w:t>
      </w:r>
    </w:p>
    <w:p w:rsidR="004178DC" w:rsidRPr="004178DC" w:rsidRDefault="004178DC" w:rsidP="004178D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Limited Historical Data:</w:t>
      </w:r>
      <w:r w:rsidRPr="004178DC">
        <w:rPr>
          <w:rFonts w:ascii="Times New Roman" w:hAnsi="Times New Roman" w:cs="Times New Roman"/>
          <w:sz w:val="24"/>
          <w:szCs w:val="24"/>
        </w:rPr>
        <w:t xml:space="preserve"> Especially in emerging markets, ESG data is scarce, unverified, or non-comparable over time.</w:t>
      </w:r>
    </w:p>
    <w:p w:rsidR="004178DC" w:rsidRPr="004178DC" w:rsidRDefault="004178DC" w:rsidP="004178D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Evolving Definitions:</w:t>
      </w:r>
      <w:r w:rsidRPr="004178DC">
        <w:rPr>
          <w:rFonts w:ascii="Times New Roman" w:hAnsi="Times New Roman" w:cs="Times New Roman"/>
          <w:sz w:val="24"/>
          <w:szCs w:val="24"/>
        </w:rPr>
        <w:t xml:space="preserve"> ESG concepts are dynamic, especially in the "S" and "G" domains, which can be culturally or regionally subjective.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c) Firm Examples Where ESG Enhanced Value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(8 marks)</w:t>
      </w:r>
    </w:p>
    <w:p w:rsidR="004178DC" w:rsidRPr="004178DC" w:rsidRDefault="004178DC" w:rsidP="004178D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lastRenderedPageBreak/>
        <w:t>Unilever:</w:t>
      </w:r>
      <w:r w:rsidRPr="004178DC">
        <w:rPr>
          <w:rFonts w:ascii="Times New Roman" w:hAnsi="Times New Roman" w:cs="Times New Roman"/>
          <w:sz w:val="24"/>
          <w:szCs w:val="24"/>
        </w:rPr>
        <w:t xml:space="preserve"> Its Sustainable Living Plan helped enhance customer loyalty, reduced costs (via resource efficiency), and increased investor appeal.</w:t>
      </w:r>
    </w:p>
    <w:p w:rsidR="004178DC" w:rsidRPr="004178DC" w:rsidRDefault="004178DC" w:rsidP="004178D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178DC">
        <w:rPr>
          <w:rFonts w:ascii="Times New Roman" w:hAnsi="Times New Roman" w:cs="Times New Roman"/>
          <w:b/>
          <w:bCs/>
          <w:sz w:val="24"/>
          <w:szCs w:val="24"/>
        </w:rPr>
        <w:t>Ørsted</w:t>
      </w:r>
      <w:proofErr w:type="spellEnd"/>
      <w:r w:rsidRPr="004178D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178DC">
        <w:rPr>
          <w:rFonts w:ascii="Times New Roman" w:hAnsi="Times New Roman" w:cs="Times New Roman"/>
          <w:sz w:val="24"/>
          <w:szCs w:val="24"/>
        </w:rPr>
        <w:t xml:space="preserve"> Transitioned from fossil fuels to become a global leader in offshore wind, improving its credit rating and share price significantly.</w:t>
      </w:r>
    </w:p>
    <w:p w:rsidR="004178DC" w:rsidRPr="004178DC" w:rsidRDefault="004178DC" w:rsidP="004178D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Microsoft:</w:t>
      </w:r>
      <w:r w:rsidRPr="004178DC">
        <w:rPr>
          <w:rFonts w:ascii="Times New Roman" w:hAnsi="Times New Roman" w:cs="Times New Roman"/>
          <w:sz w:val="24"/>
          <w:szCs w:val="24"/>
        </w:rPr>
        <w:t xml:space="preserve"> Achieved carbon neutrality and committed to being carbon negative by 2030. It attracts ESG-conscious investors and has seen sustained growth in valuation.</w:t>
      </w:r>
    </w:p>
    <w:p w:rsidR="004178DC" w:rsidRPr="004178DC" w:rsidRDefault="004178DC" w:rsidP="004178D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Volkswagen (negative example):</w:t>
      </w:r>
      <w:r w:rsidRPr="004178DC">
        <w:rPr>
          <w:rFonts w:ascii="Times New Roman" w:hAnsi="Times New Roman" w:cs="Times New Roman"/>
          <w:sz w:val="24"/>
          <w:szCs w:val="24"/>
        </w:rPr>
        <w:t xml:space="preserve"> Poor governance and transparency (</w:t>
      </w:r>
      <w:proofErr w:type="spellStart"/>
      <w:r w:rsidRPr="004178DC">
        <w:rPr>
          <w:rFonts w:ascii="Times New Roman" w:hAnsi="Times New Roman" w:cs="Times New Roman"/>
          <w:sz w:val="24"/>
          <w:szCs w:val="24"/>
        </w:rPr>
        <w:t>Dieselgate</w:t>
      </w:r>
      <w:proofErr w:type="spellEnd"/>
      <w:r w:rsidRPr="004178DC">
        <w:rPr>
          <w:rFonts w:ascii="Times New Roman" w:hAnsi="Times New Roman" w:cs="Times New Roman"/>
          <w:sz w:val="24"/>
          <w:szCs w:val="24"/>
        </w:rPr>
        <w:t xml:space="preserve"> scandal) led to severe reputation and financial losses—highlighting the cost of ignoring ESG.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Question 2: Green Bonds and Climate Finance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(20 marks)</w:t>
      </w: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a) Green Bond Mechanisms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Dedicated Capital:</w:t>
      </w:r>
      <w:r w:rsidRPr="004178DC">
        <w:rPr>
          <w:rFonts w:ascii="Times New Roman" w:hAnsi="Times New Roman" w:cs="Times New Roman"/>
          <w:sz w:val="24"/>
          <w:szCs w:val="24"/>
        </w:rPr>
        <w:t xml:space="preserve"> Green bonds earmark proceeds for environmental projects like clean energy, water conservation, and sustainable transport.</w:t>
      </w:r>
    </w:p>
    <w:p w:rsidR="004178DC" w:rsidRPr="004178DC" w:rsidRDefault="004178DC" w:rsidP="004178D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Market Signaling:</w:t>
      </w:r>
      <w:r w:rsidRPr="004178DC">
        <w:rPr>
          <w:rFonts w:ascii="Times New Roman" w:hAnsi="Times New Roman" w:cs="Times New Roman"/>
          <w:sz w:val="24"/>
          <w:szCs w:val="24"/>
        </w:rPr>
        <w:t xml:space="preserve"> Issuance of green bonds reflects a firm's environmental commitment, attracting ESG-conscious investors.</w:t>
      </w:r>
    </w:p>
    <w:p w:rsidR="004178DC" w:rsidRPr="004178DC" w:rsidRDefault="004178DC" w:rsidP="004178D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Catalytic Effect:</w:t>
      </w:r>
      <w:r w:rsidRPr="004178DC">
        <w:rPr>
          <w:rFonts w:ascii="Times New Roman" w:hAnsi="Times New Roman" w:cs="Times New Roman"/>
          <w:sz w:val="24"/>
          <w:szCs w:val="24"/>
        </w:rPr>
        <w:t xml:space="preserve"> Green bonds often serve as a gateway to wider sustainable finance practices, mobilizing private sector co-financing.</w:t>
      </w:r>
    </w:p>
    <w:p w:rsidR="004178DC" w:rsidRPr="004178DC" w:rsidRDefault="004178DC" w:rsidP="004178D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Lower Borrowing Costs:</w:t>
      </w:r>
      <w:r w:rsidRPr="004178DC">
        <w:rPr>
          <w:rFonts w:ascii="Times New Roman" w:hAnsi="Times New Roman" w:cs="Times New Roman"/>
          <w:sz w:val="24"/>
          <w:szCs w:val="24"/>
        </w:rPr>
        <w:t xml:space="preserve"> Some issuers benefit from a "</w:t>
      </w:r>
      <w:proofErr w:type="spellStart"/>
      <w:r w:rsidRPr="004178DC">
        <w:rPr>
          <w:rFonts w:ascii="Times New Roman" w:hAnsi="Times New Roman" w:cs="Times New Roman"/>
          <w:sz w:val="24"/>
          <w:szCs w:val="24"/>
        </w:rPr>
        <w:t>greenium</w:t>
      </w:r>
      <w:proofErr w:type="spellEnd"/>
      <w:r w:rsidRPr="004178DC">
        <w:rPr>
          <w:rFonts w:ascii="Times New Roman" w:hAnsi="Times New Roman" w:cs="Times New Roman"/>
          <w:sz w:val="24"/>
          <w:szCs w:val="24"/>
        </w:rPr>
        <w:t>" (lower yield) due to high demand.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b) Greenwashing Risks and Governance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(8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Risks:</w:t>
      </w:r>
    </w:p>
    <w:p w:rsidR="004178DC" w:rsidRPr="004178DC" w:rsidRDefault="004178DC" w:rsidP="004178DC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Lack of transparency on use of proceeds.</w:t>
      </w:r>
    </w:p>
    <w:p w:rsidR="004178DC" w:rsidRPr="004178DC" w:rsidRDefault="004178DC" w:rsidP="004178DC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Mislabeling of bonds (e.g., financing partially green or marginal projects).</w:t>
      </w:r>
    </w:p>
    <w:p w:rsidR="004178DC" w:rsidRPr="004178DC" w:rsidRDefault="004178DC" w:rsidP="004178DC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Weak post-issuance reporting and impact verification.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Mitigation via Governance Frameworks:</w:t>
      </w:r>
    </w:p>
    <w:p w:rsidR="004178DC" w:rsidRPr="004178DC" w:rsidRDefault="004178DC" w:rsidP="004178DC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Green Bond Principles (GBP)</w:t>
      </w:r>
      <w:r w:rsidRPr="004178DC">
        <w:rPr>
          <w:rFonts w:ascii="Times New Roman" w:hAnsi="Times New Roman" w:cs="Times New Roman"/>
          <w:sz w:val="24"/>
          <w:szCs w:val="24"/>
        </w:rPr>
        <w:t xml:space="preserve"> by ICMA: Ensure transparency in four core areas—use of proceeds, process for project evaluation, management of proceeds, and reporting.</w:t>
      </w:r>
    </w:p>
    <w:p w:rsidR="004178DC" w:rsidRPr="004178DC" w:rsidRDefault="004178DC" w:rsidP="004178DC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EU Green Bond Standard:</w:t>
      </w:r>
      <w:r w:rsidRPr="004178DC">
        <w:rPr>
          <w:rFonts w:ascii="Times New Roman" w:hAnsi="Times New Roman" w:cs="Times New Roman"/>
          <w:sz w:val="24"/>
          <w:szCs w:val="24"/>
        </w:rPr>
        <w:t xml:space="preserve"> Introduces strict taxonomy alignment, mandatory external reviews, and mandatory impact reporting.</w:t>
      </w:r>
    </w:p>
    <w:p w:rsidR="004178DC" w:rsidRPr="004178DC" w:rsidRDefault="004178DC" w:rsidP="004178DC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External Verification:</w:t>
      </w:r>
      <w:r w:rsidRPr="004178DC">
        <w:rPr>
          <w:rFonts w:ascii="Times New Roman" w:hAnsi="Times New Roman" w:cs="Times New Roman"/>
          <w:sz w:val="24"/>
          <w:szCs w:val="24"/>
        </w:rPr>
        <w:t xml:space="preserve"> Second-party opinions, certifications (e.g., Climate Bonds Initiative), and independent auditors enhance credibility.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c) Case Study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Nigeria Sovereign Green Bond (2017):</w:t>
      </w:r>
    </w:p>
    <w:p w:rsidR="004178DC" w:rsidRPr="004178DC" w:rsidRDefault="004178DC" w:rsidP="004178DC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First African sovereign green bond.</w:t>
      </w:r>
    </w:p>
    <w:p w:rsidR="004178DC" w:rsidRPr="004178DC" w:rsidRDefault="004178DC" w:rsidP="004178DC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Funded afforestation, renewable energy, and transportation.</w:t>
      </w:r>
    </w:p>
    <w:p w:rsidR="004178DC" w:rsidRPr="004178DC" w:rsidRDefault="004178DC" w:rsidP="004178DC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Aligned with Nigeria’s NDC targets.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Successes:</w:t>
      </w:r>
    </w:p>
    <w:p w:rsidR="004178DC" w:rsidRPr="004178DC" w:rsidRDefault="004178DC" w:rsidP="004178DC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Mobilized both local and international climate finance.</w:t>
      </w:r>
    </w:p>
    <w:p w:rsidR="004178DC" w:rsidRPr="004178DC" w:rsidRDefault="004178DC" w:rsidP="004178DC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Established regulatory precedent for other African issuers.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Limitations:</w:t>
      </w:r>
    </w:p>
    <w:p w:rsidR="004178DC" w:rsidRPr="004178DC" w:rsidRDefault="004178DC" w:rsidP="004178DC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Weak project-level reporting in early years.</w:t>
      </w:r>
    </w:p>
    <w:p w:rsidR="004178DC" w:rsidRPr="004178DC" w:rsidRDefault="004178DC" w:rsidP="004178DC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Limited pipeline of bankable green projects due to capacity gaps.</w:t>
      </w: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Question 3: Sustainable Investment Strategies – Theory and Practice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(20 marks)</w:t>
      </w: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a) Explain the Approach and Objectives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1. Negative Screening (Exclusionary Investing)</w:t>
      </w:r>
    </w:p>
    <w:p w:rsidR="004178DC" w:rsidRPr="004178DC" w:rsidRDefault="004178DC" w:rsidP="004178DC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Excludes companies/sectors that conflict with ethical, social, or environmental values (e.g., tobacco, arms, fossil fuels).</w:t>
      </w:r>
    </w:p>
    <w:p w:rsidR="004178DC" w:rsidRPr="004178DC" w:rsidRDefault="004178DC" w:rsidP="004178DC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Objective: Align investments with moral or institutional values, often driven by religious or policy-based mandates.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2. ESG Integration</w:t>
      </w:r>
    </w:p>
    <w:p w:rsidR="004178DC" w:rsidRPr="004178DC" w:rsidRDefault="004178DC" w:rsidP="004178DC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Systematic inclusion of ESG risks and opportunities in investment analysis alongside financial factors.</w:t>
      </w:r>
    </w:p>
    <w:p w:rsidR="004178DC" w:rsidRPr="004178DC" w:rsidRDefault="004178DC" w:rsidP="004178DC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Objective: Enhance risk-adjusted returns by accounting for non-financial risks that affect long-term performance.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3. Impact Investing</w:t>
      </w:r>
    </w:p>
    <w:p w:rsidR="004178DC" w:rsidRPr="004178DC" w:rsidRDefault="004178DC" w:rsidP="004178DC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Investments made with the intention to generate measurable social/environmental impact along with financial return.</w:t>
      </w:r>
    </w:p>
    <w:p w:rsidR="004178DC" w:rsidRPr="004178DC" w:rsidRDefault="004178DC" w:rsidP="004178DC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lastRenderedPageBreak/>
        <w:t>Objective: Address specific global challenges (e.g., poverty, climate change) while achieving financial sustainability.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b) Critically Assess Financial and Social Returns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Negative Screening:</w:t>
      </w:r>
    </w:p>
    <w:p w:rsidR="004178DC" w:rsidRPr="004178DC" w:rsidRDefault="004178DC" w:rsidP="004178DC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Financial Return:</w:t>
      </w:r>
      <w:r w:rsidRPr="004178DC">
        <w:rPr>
          <w:rFonts w:ascii="Times New Roman" w:hAnsi="Times New Roman" w:cs="Times New Roman"/>
          <w:sz w:val="24"/>
          <w:szCs w:val="24"/>
        </w:rPr>
        <w:t xml:space="preserve"> May reduce diversification; however, evidence shows minimal performance sacrifice over time.</w:t>
      </w:r>
    </w:p>
    <w:p w:rsidR="004178DC" w:rsidRPr="004178DC" w:rsidRDefault="004178DC" w:rsidP="004178DC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Social Return:</w:t>
      </w:r>
      <w:r w:rsidRPr="004178DC">
        <w:rPr>
          <w:rFonts w:ascii="Times New Roman" w:hAnsi="Times New Roman" w:cs="Times New Roman"/>
          <w:sz w:val="24"/>
          <w:szCs w:val="24"/>
        </w:rPr>
        <w:t xml:space="preserve"> High alignment with ethical norms and public expectations, but limited measurable external impact.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ESG Integration:</w:t>
      </w:r>
    </w:p>
    <w:p w:rsidR="004178DC" w:rsidRPr="004178DC" w:rsidRDefault="004178DC" w:rsidP="004178DC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Financial Return:</w:t>
      </w:r>
      <w:r w:rsidRPr="004178DC">
        <w:rPr>
          <w:rFonts w:ascii="Times New Roman" w:hAnsi="Times New Roman" w:cs="Times New Roman"/>
          <w:sz w:val="24"/>
          <w:szCs w:val="24"/>
        </w:rPr>
        <w:t xml:space="preserve"> Growing consensus that ESG integration enhances long-term performance and reduces downside risks.</w:t>
      </w:r>
    </w:p>
    <w:p w:rsidR="004178DC" w:rsidRPr="004178DC" w:rsidRDefault="004178DC" w:rsidP="004178DC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Social Return:</w:t>
      </w:r>
      <w:r w:rsidRPr="004178DC">
        <w:rPr>
          <w:rFonts w:ascii="Times New Roman" w:hAnsi="Times New Roman" w:cs="Times New Roman"/>
          <w:sz w:val="24"/>
          <w:szCs w:val="24"/>
        </w:rPr>
        <w:t xml:space="preserve"> Variable; may not guarantee impact unless combined with shareholder engagement or active ownership.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Impact Investing:</w:t>
      </w:r>
    </w:p>
    <w:p w:rsidR="004178DC" w:rsidRPr="004178DC" w:rsidRDefault="004178DC" w:rsidP="004178DC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Financial Return:</w:t>
      </w:r>
      <w:r w:rsidRPr="004178DC">
        <w:rPr>
          <w:rFonts w:ascii="Times New Roman" w:hAnsi="Times New Roman" w:cs="Times New Roman"/>
          <w:sz w:val="24"/>
          <w:szCs w:val="24"/>
        </w:rPr>
        <w:t xml:space="preserve"> Often trades off liquidity or yield for impact; however, many impact funds still achieve market-rate returns.</w:t>
      </w:r>
    </w:p>
    <w:p w:rsidR="004178DC" w:rsidRPr="004178DC" w:rsidRDefault="004178DC" w:rsidP="004178DC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Social Return:</w:t>
      </w:r>
      <w:r w:rsidRPr="004178DC">
        <w:rPr>
          <w:rFonts w:ascii="Times New Roman" w:hAnsi="Times New Roman" w:cs="Times New Roman"/>
          <w:sz w:val="24"/>
          <w:szCs w:val="24"/>
        </w:rPr>
        <w:t xml:space="preserve"> Highest in terms of measurable benefits—education, health, environmental restoration, etc.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c) Real-World Examples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(8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Negative Screening:</w:t>
      </w:r>
    </w:p>
    <w:p w:rsidR="004178DC" w:rsidRPr="004178DC" w:rsidRDefault="004178DC" w:rsidP="004178DC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Norway’s Government Pension Fund Global</w:t>
      </w:r>
      <w:r w:rsidRPr="004178DC">
        <w:rPr>
          <w:rFonts w:ascii="Times New Roman" w:hAnsi="Times New Roman" w:cs="Times New Roman"/>
          <w:sz w:val="24"/>
          <w:szCs w:val="24"/>
        </w:rPr>
        <w:t xml:space="preserve"> excludes arms manufacturers and coal-related investments based on ethical guidelines.</w:t>
      </w:r>
    </w:p>
    <w:p w:rsidR="004178DC" w:rsidRPr="004178DC" w:rsidRDefault="004178DC" w:rsidP="004178DC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Example:</w:t>
      </w:r>
      <w:r w:rsidRPr="004178DC">
        <w:rPr>
          <w:rFonts w:ascii="Times New Roman" w:hAnsi="Times New Roman" w:cs="Times New Roman"/>
          <w:sz w:val="24"/>
          <w:szCs w:val="24"/>
        </w:rPr>
        <w:t xml:space="preserve"> Excluded Glencore and Rio Tinto over environmental concerns.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ESG Integration:</w:t>
      </w:r>
    </w:p>
    <w:p w:rsidR="004178DC" w:rsidRPr="004178DC" w:rsidRDefault="004178DC" w:rsidP="004178DC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BlackRock:</w:t>
      </w:r>
      <w:r w:rsidRPr="004178DC">
        <w:rPr>
          <w:rFonts w:ascii="Times New Roman" w:hAnsi="Times New Roman" w:cs="Times New Roman"/>
          <w:sz w:val="24"/>
          <w:szCs w:val="24"/>
        </w:rPr>
        <w:t xml:space="preserve"> World’s largest asset manager declared ESG integration across all portfolios.</w:t>
      </w:r>
    </w:p>
    <w:p w:rsidR="004178DC" w:rsidRPr="004178DC" w:rsidRDefault="004178DC" w:rsidP="004178DC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Example:</w:t>
      </w:r>
      <w:r w:rsidRPr="004178DC">
        <w:rPr>
          <w:rFonts w:ascii="Times New Roman" w:hAnsi="Times New Roman" w:cs="Times New Roman"/>
          <w:sz w:val="24"/>
          <w:szCs w:val="24"/>
        </w:rPr>
        <w:t xml:space="preserve"> Pushes portfolio companies toward sustainability disclosure via Climate Action 100+.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Impact Investing:</w:t>
      </w:r>
    </w:p>
    <w:p w:rsidR="004178DC" w:rsidRPr="004178DC" w:rsidRDefault="004178DC" w:rsidP="004178DC">
      <w:pPr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lastRenderedPageBreak/>
        <w:t>Acumen Fund:</w:t>
      </w:r>
      <w:r w:rsidRPr="004178DC">
        <w:rPr>
          <w:rFonts w:ascii="Times New Roman" w:hAnsi="Times New Roman" w:cs="Times New Roman"/>
          <w:sz w:val="24"/>
          <w:szCs w:val="24"/>
        </w:rPr>
        <w:t xml:space="preserve"> Invests in social enterprises in healthcare, clean energy, and education in Africa and South Asia.</w:t>
      </w:r>
    </w:p>
    <w:p w:rsidR="004178DC" w:rsidRPr="004178DC" w:rsidRDefault="004178DC" w:rsidP="004178DC">
      <w:pPr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178DC">
        <w:rPr>
          <w:rFonts w:ascii="Times New Roman" w:hAnsi="Times New Roman" w:cs="Times New Roman"/>
          <w:b/>
          <w:bCs/>
          <w:sz w:val="24"/>
          <w:szCs w:val="24"/>
        </w:rPr>
        <w:t>Triodos</w:t>
      </w:r>
      <w:proofErr w:type="spellEnd"/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 Bank (Netherlands):</w:t>
      </w:r>
      <w:r w:rsidRPr="004178DC">
        <w:rPr>
          <w:rFonts w:ascii="Times New Roman" w:hAnsi="Times New Roman" w:cs="Times New Roman"/>
          <w:sz w:val="24"/>
          <w:szCs w:val="24"/>
        </w:rPr>
        <w:t xml:space="preserve"> Retail bank dedicated to impact across social housing, organic farming, and renewable energy.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 Question 4: Climate Risk and Financial Stability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(20 marks)</w:t>
      </w: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a) Types of Climate Risks and Transmission Channels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(8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1. Physical Risks:</w:t>
      </w:r>
    </w:p>
    <w:p w:rsidR="004178DC" w:rsidRPr="004178DC" w:rsidRDefault="004178DC" w:rsidP="004178DC">
      <w:pPr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Risks from climate events (e.g., floods, droughts, wildfires) damaging assets and supply chains.</w:t>
      </w:r>
    </w:p>
    <w:p w:rsidR="004178DC" w:rsidRPr="004178DC" w:rsidRDefault="004178DC" w:rsidP="004178DC">
      <w:pPr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Transmission: Direct asset impairment, operational disruptions, insurance losses.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2. Transition Risks:</w:t>
      </w:r>
    </w:p>
    <w:p w:rsidR="004178DC" w:rsidRPr="004178DC" w:rsidRDefault="004178DC" w:rsidP="004178DC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Risks from policy, legal, or market changes during the shift to a low-carbon economy.</w:t>
      </w:r>
    </w:p>
    <w:p w:rsidR="004178DC" w:rsidRPr="004178DC" w:rsidRDefault="004178DC" w:rsidP="004178DC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Transmission: Stranded assets (e.g., coal plants), shifts in demand, compliance costs, revaluation of portfolios.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3. Liability Risks:</w:t>
      </w:r>
    </w:p>
    <w:p w:rsidR="004178DC" w:rsidRPr="004178DC" w:rsidRDefault="004178DC" w:rsidP="004178DC">
      <w:pPr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Legal claims from affected stakeholders or regulatory enforcement for failure to mitigate or disclose climate risks.</w:t>
      </w:r>
    </w:p>
    <w:p w:rsidR="004178DC" w:rsidRPr="004178DC" w:rsidRDefault="004178DC" w:rsidP="004178DC">
      <w:pPr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Transmission: Litigation costs, reputational damage, and potential regulatory fines.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b) Regulatory and Institutional Responses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1. Central Banks and Supervisors:</w:t>
      </w:r>
    </w:p>
    <w:p w:rsidR="004178DC" w:rsidRPr="004178DC" w:rsidRDefault="004178DC" w:rsidP="004178DC">
      <w:pPr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Bank of England</w:t>
      </w:r>
      <w:r w:rsidRPr="004178DC">
        <w:rPr>
          <w:rFonts w:ascii="Times New Roman" w:hAnsi="Times New Roman" w:cs="Times New Roman"/>
          <w:sz w:val="24"/>
          <w:szCs w:val="24"/>
        </w:rPr>
        <w:t>: Climate stress testing.</w:t>
      </w:r>
    </w:p>
    <w:p w:rsidR="004178DC" w:rsidRPr="004178DC" w:rsidRDefault="004178DC" w:rsidP="004178DC">
      <w:pPr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ECB &amp; </w:t>
      </w:r>
      <w:proofErr w:type="spellStart"/>
      <w:r w:rsidRPr="004178DC">
        <w:rPr>
          <w:rFonts w:ascii="Times New Roman" w:hAnsi="Times New Roman" w:cs="Times New Roman"/>
          <w:b/>
          <w:bCs/>
          <w:sz w:val="24"/>
          <w:szCs w:val="24"/>
        </w:rPr>
        <w:t>Banque</w:t>
      </w:r>
      <w:proofErr w:type="spellEnd"/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 de France</w:t>
      </w:r>
      <w:r w:rsidRPr="004178DC">
        <w:rPr>
          <w:rFonts w:ascii="Times New Roman" w:hAnsi="Times New Roman" w:cs="Times New Roman"/>
          <w:sz w:val="24"/>
          <w:szCs w:val="24"/>
        </w:rPr>
        <w:t>: Assessing bank exposure to transition risk.</w:t>
      </w:r>
    </w:p>
    <w:p w:rsidR="004178DC" w:rsidRPr="004178DC" w:rsidRDefault="004178DC" w:rsidP="004178DC">
      <w:pPr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NGFS (Network for Greening the Financial System):</w:t>
      </w:r>
      <w:r w:rsidRPr="004178DC">
        <w:rPr>
          <w:rFonts w:ascii="Times New Roman" w:hAnsi="Times New Roman" w:cs="Times New Roman"/>
          <w:sz w:val="24"/>
          <w:szCs w:val="24"/>
        </w:rPr>
        <w:t xml:space="preserve"> Encourages integration of climate risks in supervision.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2. Disclosure Frameworks:</w:t>
      </w:r>
    </w:p>
    <w:p w:rsidR="004178DC" w:rsidRPr="004178DC" w:rsidRDefault="004178DC" w:rsidP="004178DC">
      <w:pPr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TCFD (Task Force on Climate-related Financial Disclosures):</w:t>
      </w:r>
      <w:r w:rsidRPr="004178DC">
        <w:rPr>
          <w:rFonts w:ascii="Times New Roman" w:hAnsi="Times New Roman" w:cs="Times New Roman"/>
          <w:sz w:val="24"/>
          <w:szCs w:val="24"/>
        </w:rPr>
        <w:t xml:space="preserve"> Guides firms to disclose governance, strategy, and risk metrics.</w:t>
      </w:r>
    </w:p>
    <w:p w:rsidR="004178DC" w:rsidRPr="004178DC" w:rsidRDefault="004178DC" w:rsidP="004178DC">
      <w:pPr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ISSB (International Sustainability Standards Board):</w:t>
      </w:r>
      <w:r w:rsidRPr="004178DC">
        <w:rPr>
          <w:rFonts w:ascii="Times New Roman" w:hAnsi="Times New Roman" w:cs="Times New Roman"/>
          <w:sz w:val="24"/>
          <w:szCs w:val="24"/>
        </w:rPr>
        <w:t xml:space="preserve"> Consolidating reporting standards to increase consistency.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Financial Institutions:</w:t>
      </w:r>
    </w:p>
    <w:p w:rsidR="004178DC" w:rsidRPr="004178DC" w:rsidRDefault="004178DC" w:rsidP="004178DC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 xml:space="preserve">Internal climate risk frameworks, scenario planning, green asset ratio disclosures, and portfolio </w:t>
      </w:r>
      <w:proofErr w:type="spellStart"/>
      <w:r w:rsidRPr="004178DC">
        <w:rPr>
          <w:rFonts w:ascii="Times New Roman" w:hAnsi="Times New Roman" w:cs="Times New Roman"/>
          <w:sz w:val="24"/>
          <w:szCs w:val="24"/>
        </w:rPr>
        <w:t>decarbonization</w:t>
      </w:r>
      <w:proofErr w:type="spellEnd"/>
      <w:r w:rsidRPr="004178DC">
        <w:rPr>
          <w:rFonts w:ascii="Times New Roman" w:hAnsi="Times New Roman" w:cs="Times New Roman"/>
          <w:sz w:val="24"/>
          <w:szCs w:val="24"/>
        </w:rPr>
        <w:t xml:space="preserve"> targets.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c) Limitations of Current Climate Risk Tools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Scenario Uncertainty:</w:t>
      </w:r>
    </w:p>
    <w:p w:rsidR="004178DC" w:rsidRPr="004178DC" w:rsidRDefault="004178DC" w:rsidP="004178DC">
      <w:pPr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Climate models rely on assumptions (e.g., policy pathways, tech development) which may not materialize, reducing predictive accuracy.</w:t>
      </w:r>
    </w:p>
    <w:p w:rsidR="004178DC" w:rsidRPr="004178DC" w:rsidRDefault="004178DC" w:rsidP="004178DC">
      <w:pPr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Data Gaps:</w:t>
      </w:r>
    </w:p>
    <w:p w:rsidR="004178DC" w:rsidRPr="004178DC" w:rsidRDefault="004178DC" w:rsidP="004178DC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Firms lack granular, forward-looking data, especially in emerging markets. Historical financial data does not reflect future climate exposure.</w:t>
      </w:r>
    </w:p>
    <w:p w:rsidR="004178DC" w:rsidRPr="004178DC" w:rsidRDefault="004178DC" w:rsidP="004178DC">
      <w:pPr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Inconsistent Methodologies:</w:t>
      </w:r>
    </w:p>
    <w:p w:rsidR="004178DC" w:rsidRPr="004178DC" w:rsidRDefault="004178DC" w:rsidP="004178DC">
      <w:pPr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Different institutions use varied baselines, metrics, and time horizons—hindering comparability.</w:t>
      </w:r>
    </w:p>
    <w:p w:rsidR="004178DC" w:rsidRPr="004178DC" w:rsidRDefault="004178DC" w:rsidP="004178DC">
      <w:pPr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Voluntary Nature of Disclosure:</w:t>
      </w:r>
    </w:p>
    <w:p w:rsidR="004178DC" w:rsidRPr="004178DC" w:rsidRDefault="004178DC" w:rsidP="004178DC">
      <w:pPr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Until recently, most climate reporting was not mandatory, leading to selective or superficial reporting ("box-ticking").</w:t>
      </w:r>
    </w:p>
    <w:p w:rsidR="004178DC" w:rsidRPr="004178DC" w:rsidRDefault="004178DC" w:rsidP="004178DC">
      <w:pPr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Limited Coverage of Systemic Effects:</w:t>
      </w:r>
    </w:p>
    <w:p w:rsidR="004178DC" w:rsidRPr="004178DC" w:rsidRDefault="004178DC" w:rsidP="004178DC">
      <w:pPr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Interconnectedness of financial markets and second-order impacts (e.g., migration, inflation) are hard to quantify.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 Question 5: DFIs and Inclusive Green Growth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(20 marks)</w:t>
      </w: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a) Mobilizing and De-risking Capital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sz w:val="24"/>
          <w:szCs w:val="24"/>
        </w:rPr>
        <w:t>DFIs bridge the financing gap in high-risk or underfunded markets by:</w:t>
      </w:r>
    </w:p>
    <w:p w:rsidR="004178DC" w:rsidRPr="004178DC" w:rsidRDefault="004178DC" w:rsidP="004178DC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Blended Finance:</w:t>
      </w:r>
      <w:r w:rsidRPr="004178DC">
        <w:rPr>
          <w:rFonts w:ascii="Times New Roman" w:hAnsi="Times New Roman" w:cs="Times New Roman"/>
          <w:sz w:val="24"/>
          <w:szCs w:val="24"/>
        </w:rPr>
        <w:t xml:space="preserve"> Combining concessional public funds with private capital.</w:t>
      </w:r>
    </w:p>
    <w:p w:rsidR="004178DC" w:rsidRPr="004178DC" w:rsidRDefault="004178DC" w:rsidP="004178DC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Guarantees and Risk-sharing Instruments:</w:t>
      </w:r>
      <w:r w:rsidRPr="004178DC">
        <w:rPr>
          <w:rFonts w:ascii="Times New Roman" w:hAnsi="Times New Roman" w:cs="Times New Roman"/>
          <w:sz w:val="24"/>
          <w:szCs w:val="24"/>
        </w:rPr>
        <w:t xml:space="preserve"> Lower risk exposure for private investors.</w:t>
      </w:r>
    </w:p>
    <w:p w:rsidR="004178DC" w:rsidRPr="004178DC" w:rsidRDefault="004178DC" w:rsidP="004178DC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Technical Assistance:</w:t>
      </w:r>
      <w:r w:rsidRPr="004178DC">
        <w:rPr>
          <w:rFonts w:ascii="Times New Roman" w:hAnsi="Times New Roman" w:cs="Times New Roman"/>
          <w:sz w:val="24"/>
          <w:szCs w:val="24"/>
        </w:rPr>
        <w:t xml:space="preserve"> Enhancing capacity of project developers and financial institutions.</w:t>
      </w:r>
    </w:p>
    <w:p w:rsidR="004178DC" w:rsidRPr="004178DC" w:rsidRDefault="004178DC" w:rsidP="004178DC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First-loss Capital:</w:t>
      </w:r>
      <w:r w:rsidRPr="004178DC">
        <w:rPr>
          <w:rFonts w:ascii="Times New Roman" w:hAnsi="Times New Roman" w:cs="Times New Roman"/>
          <w:sz w:val="24"/>
          <w:szCs w:val="24"/>
        </w:rPr>
        <w:t xml:space="preserve"> Absorbing early losses to attract commercial investment.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b) Promoting Inclusion, Equity, and Resilience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 marks)</w:t>
      </w:r>
    </w:p>
    <w:p w:rsidR="004178DC" w:rsidRPr="004178DC" w:rsidRDefault="004178DC" w:rsidP="004178DC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lastRenderedPageBreak/>
        <w:t>Financial Inclusion:</w:t>
      </w:r>
      <w:r w:rsidRPr="004178DC">
        <w:rPr>
          <w:rFonts w:ascii="Times New Roman" w:hAnsi="Times New Roman" w:cs="Times New Roman"/>
          <w:sz w:val="24"/>
          <w:szCs w:val="24"/>
        </w:rPr>
        <w:t xml:space="preserve"> DFIs fund MSMEs, often via microfinance institutions and digital finance platforms.</w:t>
      </w:r>
    </w:p>
    <w:p w:rsidR="004178DC" w:rsidRPr="004178DC" w:rsidRDefault="004178DC" w:rsidP="004178DC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Gender Equity:</w:t>
      </w:r>
      <w:r w:rsidRPr="004178DC">
        <w:rPr>
          <w:rFonts w:ascii="Times New Roman" w:hAnsi="Times New Roman" w:cs="Times New Roman"/>
          <w:sz w:val="24"/>
          <w:szCs w:val="24"/>
        </w:rPr>
        <w:t xml:space="preserve"> Institutions like IFC and DEG support gender-smart investment frameworks, funding women-led enterprises.</w:t>
      </w:r>
    </w:p>
    <w:p w:rsidR="004178DC" w:rsidRPr="004178DC" w:rsidRDefault="004178DC" w:rsidP="004178DC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Climate Resilience:</w:t>
      </w:r>
      <w:r w:rsidRPr="004178DC">
        <w:rPr>
          <w:rFonts w:ascii="Times New Roman" w:hAnsi="Times New Roman" w:cs="Times New Roman"/>
          <w:sz w:val="24"/>
          <w:szCs w:val="24"/>
        </w:rPr>
        <w:t xml:space="preserve"> DFIs fund infrastructure for water access, sustainable agriculture, and renewable energy, especially in vulnerable regions.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</w:p>
    <w:p w:rsidR="004178DC" w:rsidRPr="004178DC" w:rsidRDefault="004178DC" w:rsidP="004178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 xml:space="preserve">c) Case Study – </w:t>
      </w:r>
      <w:r w:rsidRPr="004178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(8 marks)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1. African Development Bank (</w:t>
      </w:r>
      <w:proofErr w:type="spellStart"/>
      <w:r w:rsidRPr="004178DC">
        <w:rPr>
          <w:rFonts w:ascii="Times New Roman" w:hAnsi="Times New Roman" w:cs="Times New Roman"/>
          <w:b/>
          <w:bCs/>
          <w:sz w:val="24"/>
          <w:szCs w:val="24"/>
        </w:rPr>
        <w:t>AfDB</w:t>
      </w:r>
      <w:proofErr w:type="spellEnd"/>
      <w:r w:rsidRPr="004178DC">
        <w:rPr>
          <w:rFonts w:ascii="Times New Roman" w:hAnsi="Times New Roman" w:cs="Times New Roman"/>
          <w:b/>
          <w:bCs/>
          <w:sz w:val="24"/>
          <w:szCs w:val="24"/>
        </w:rPr>
        <w:t>):</w:t>
      </w:r>
    </w:p>
    <w:p w:rsidR="004178DC" w:rsidRPr="004178DC" w:rsidRDefault="004178DC" w:rsidP="004178DC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Program:</w:t>
      </w:r>
      <w:r w:rsidRPr="004178DC">
        <w:rPr>
          <w:rFonts w:ascii="Times New Roman" w:hAnsi="Times New Roman" w:cs="Times New Roman"/>
          <w:sz w:val="24"/>
          <w:szCs w:val="24"/>
        </w:rPr>
        <w:t xml:space="preserve"> “Desert to Power” initiative – aims to provide electricity to 250 million people in the Sahel through solar.</w:t>
      </w:r>
    </w:p>
    <w:p w:rsidR="004178DC" w:rsidRPr="004178DC" w:rsidRDefault="004178DC" w:rsidP="004178DC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Development Impact:</w:t>
      </w:r>
      <w:r w:rsidRPr="004178DC">
        <w:rPr>
          <w:rFonts w:ascii="Times New Roman" w:hAnsi="Times New Roman" w:cs="Times New Roman"/>
          <w:sz w:val="24"/>
          <w:szCs w:val="24"/>
        </w:rPr>
        <w:t xml:space="preserve"> Access to clean energy, jobs, local economic development.</w:t>
      </w:r>
    </w:p>
    <w:p w:rsidR="004178DC" w:rsidRPr="004178DC" w:rsidRDefault="004178DC" w:rsidP="004178DC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Trade-Offs:</w:t>
      </w:r>
      <w:r w:rsidRPr="004178DC">
        <w:rPr>
          <w:rFonts w:ascii="Times New Roman" w:hAnsi="Times New Roman" w:cs="Times New Roman"/>
          <w:sz w:val="24"/>
          <w:szCs w:val="24"/>
        </w:rPr>
        <w:t xml:space="preserve"> Long payback periods, political instability, and currency risks challenge financial sustainability.</w:t>
      </w:r>
    </w:p>
    <w:p w:rsidR="004178DC" w:rsidRPr="004178DC" w:rsidRDefault="004178DC" w:rsidP="004178DC">
      <w:p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2. International Finance Corporation (IFC):</w:t>
      </w:r>
    </w:p>
    <w:p w:rsidR="004178DC" w:rsidRPr="004178DC" w:rsidRDefault="004178DC" w:rsidP="004178DC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Program:</w:t>
      </w:r>
      <w:r w:rsidRPr="004178DC">
        <w:rPr>
          <w:rFonts w:ascii="Times New Roman" w:hAnsi="Times New Roman" w:cs="Times New Roman"/>
          <w:sz w:val="24"/>
          <w:szCs w:val="24"/>
        </w:rPr>
        <w:t xml:space="preserve"> EDGE green building certification and financing tool.</w:t>
      </w:r>
    </w:p>
    <w:p w:rsidR="004178DC" w:rsidRPr="004178DC" w:rsidRDefault="004178DC" w:rsidP="004178DC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Impact:</w:t>
      </w:r>
      <w:r w:rsidRPr="004178DC">
        <w:rPr>
          <w:rFonts w:ascii="Times New Roman" w:hAnsi="Times New Roman" w:cs="Times New Roman"/>
          <w:sz w:val="24"/>
          <w:szCs w:val="24"/>
        </w:rPr>
        <w:t xml:space="preserve"> Promotes energy efficiency, reduces emissions in commercial and residential real estate.</w:t>
      </w:r>
    </w:p>
    <w:p w:rsidR="004178DC" w:rsidRPr="004178DC" w:rsidRDefault="004178DC" w:rsidP="004178DC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178DC">
        <w:rPr>
          <w:rFonts w:ascii="Times New Roman" w:hAnsi="Times New Roman" w:cs="Times New Roman"/>
          <w:b/>
          <w:bCs/>
          <w:sz w:val="24"/>
          <w:szCs w:val="24"/>
        </w:rPr>
        <w:t>Trade-Off:</w:t>
      </w:r>
      <w:r w:rsidRPr="004178DC">
        <w:rPr>
          <w:rFonts w:ascii="Times New Roman" w:hAnsi="Times New Roman" w:cs="Times New Roman"/>
          <w:sz w:val="24"/>
          <w:szCs w:val="24"/>
        </w:rPr>
        <w:t xml:space="preserve"> Higher upfront cost deters adoption without blended finance support.</w:t>
      </w:r>
    </w:p>
    <w:p w:rsidR="00206739" w:rsidRPr="004178DC" w:rsidRDefault="00206739">
      <w:pPr>
        <w:rPr>
          <w:rFonts w:ascii="Times New Roman" w:hAnsi="Times New Roman" w:cs="Times New Roman"/>
          <w:sz w:val="24"/>
          <w:szCs w:val="24"/>
        </w:rPr>
      </w:pPr>
    </w:p>
    <w:sectPr w:rsidR="00206739" w:rsidRPr="004178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AC1"/>
    <w:multiLevelType w:val="multilevel"/>
    <w:tmpl w:val="CBBA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0675C"/>
    <w:multiLevelType w:val="multilevel"/>
    <w:tmpl w:val="DF0C93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51E59"/>
    <w:multiLevelType w:val="multilevel"/>
    <w:tmpl w:val="FA3EC6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D2372"/>
    <w:multiLevelType w:val="multilevel"/>
    <w:tmpl w:val="0296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5C603C"/>
    <w:multiLevelType w:val="multilevel"/>
    <w:tmpl w:val="5972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03306C"/>
    <w:multiLevelType w:val="multilevel"/>
    <w:tmpl w:val="9FB8E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3567DB"/>
    <w:multiLevelType w:val="multilevel"/>
    <w:tmpl w:val="F7865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E72D2F"/>
    <w:multiLevelType w:val="multilevel"/>
    <w:tmpl w:val="1D1C34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64AF4"/>
    <w:multiLevelType w:val="multilevel"/>
    <w:tmpl w:val="6C406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220C34"/>
    <w:multiLevelType w:val="multilevel"/>
    <w:tmpl w:val="A638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635028"/>
    <w:multiLevelType w:val="multilevel"/>
    <w:tmpl w:val="C45CA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EC4B44"/>
    <w:multiLevelType w:val="multilevel"/>
    <w:tmpl w:val="6A281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E80397"/>
    <w:multiLevelType w:val="multilevel"/>
    <w:tmpl w:val="E6108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8620F8"/>
    <w:multiLevelType w:val="multilevel"/>
    <w:tmpl w:val="F5B27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45374A"/>
    <w:multiLevelType w:val="multilevel"/>
    <w:tmpl w:val="852C8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C84C35"/>
    <w:multiLevelType w:val="multilevel"/>
    <w:tmpl w:val="92CE7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1B5FB2"/>
    <w:multiLevelType w:val="multilevel"/>
    <w:tmpl w:val="0B540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BD0C1C"/>
    <w:multiLevelType w:val="multilevel"/>
    <w:tmpl w:val="7228D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186527"/>
    <w:multiLevelType w:val="multilevel"/>
    <w:tmpl w:val="C5BE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0A09F0"/>
    <w:multiLevelType w:val="multilevel"/>
    <w:tmpl w:val="C64C0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614F47"/>
    <w:multiLevelType w:val="multilevel"/>
    <w:tmpl w:val="1D08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FE60BD"/>
    <w:multiLevelType w:val="multilevel"/>
    <w:tmpl w:val="FC90D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011B47"/>
    <w:multiLevelType w:val="multilevel"/>
    <w:tmpl w:val="3B60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4752A3"/>
    <w:multiLevelType w:val="multilevel"/>
    <w:tmpl w:val="E514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C20EF"/>
    <w:multiLevelType w:val="multilevel"/>
    <w:tmpl w:val="4156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FE6F1C"/>
    <w:multiLevelType w:val="multilevel"/>
    <w:tmpl w:val="9864D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3D69C7"/>
    <w:multiLevelType w:val="multilevel"/>
    <w:tmpl w:val="6F66F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BD7182"/>
    <w:multiLevelType w:val="multilevel"/>
    <w:tmpl w:val="D472B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EA0E43"/>
    <w:multiLevelType w:val="multilevel"/>
    <w:tmpl w:val="B8D66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272A0A"/>
    <w:multiLevelType w:val="multilevel"/>
    <w:tmpl w:val="D3561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34778B"/>
    <w:multiLevelType w:val="multilevel"/>
    <w:tmpl w:val="E0ACB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DF4B9A"/>
    <w:multiLevelType w:val="multilevel"/>
    <w:tmpl w:val="288E3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BE2C92"/>
    <w:multiLevelType w:val="multilevel"/>
    <w:tmpl w:val="254E6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7176AA"/>
    <w:multiLevelType w:val="multilevel"/>
    <w:tmpl w:val="397CA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7613E0"/>
    <w:multiLevelType w:val="multilevel"/>
    <w:tmpl w:val="6FD4B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2B1EC5"/>
    <w:multiLevelType w:val="multilevel"/>
    <w:tmpl w:val="64546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D717E7"/>
    <w:multiLevelType w:val="multilevel"/>
    <w:tmpl w:val="6BDAF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C6F7B"/>
    <w:multiLevelType w:val="multilevel"/>
    <w:tmpl w:val="00FC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31"/>
  </w:num>
  <w:num w:numId="4">
    <w:abstractNumId w:val="18"/>
  </w:num>
  <w:num w:numId="5">
    <w:abstractNumId w:val="19"/>
  </w:num>
  <w:num w:numId="6">
    <w:abstractNumId w:val="3"/>
  </w:num>
  <w:num w:numId="7">
    <w:abstractNumId w:val="37"/>
  </w:num>
  <w:num w:numId="8">
    <w:abstractNumId w:val="24"/>
  </w:num>
  <w:num w:numId="9">
    <w:abstractNumId w:val="11"/>
  </w:num>
  <w:num w:numId="10">
    <w:abstractNumId w:val="22"/>
  </w:num>
  <w:num w:numId="11">
    <w:abstractNumId w:val="6"/>
  </w:num>
  <w:num w:numId="12">
    <w:abstractNumId w:val="10"/>
  </w:num>
  <w:num w:numId="13">
    <w:abstractNumId w:val="26"/>
  </w:num>
  <w:num w:numId="14">
    <w:abstractNumId w:val="30"/>
  </w:num>
  <w:num w:numId="15">
    <w:abstractNumId w:val="28"/>
  </w:num>
  <w:num w:numId="16">
    <w:abstractNumId w:val="15"/>
  </w:num>
  <w:num w:numId="17">
    <w:abstractNumId w:val="32"/>
  </w:num>
  <w:num w:numId="18">
    <w:abstractNumId w:val="33"/>
  </w:num>
  <w:num w:numId="19">
    <w:abstractNumId w:val="27"/>
  </w:num>
  <w:num w:numId="20">
    <w:abstractNumId w:val="4"/>
  </w:num>
  <w:num w:numId="21">
    <w:abstractNumId w:val="12"/>
  </w:num>
  <w:num w:numId="22">
    <w:abstractNumId w:val="36"/>
  </w:num>
  <w:num w:numId="23">
    <w:abstractNumId w:val="0"/>
  </w:num>
  <w:num w:numId="24">
    <w:abstractNumId w:val="25"/>
  </w:num>
  <w:num w:numId="25">
    <w:abstractNumId w:val="13"/>
  </w:num>
  <w:num w:numId="26">
    <w:abstractNumId w:val="34"/>
  </w:num>
  <w:num w:numId="27">
    <w:abstractNumId w:val="14"/>
  </w:num>
  <w:num w:numId="28">
    <w:abstractNumId w:val="23"/>
  </w:num>
  <w:num w:numId="29">
    <w:abstractNumId w:val="29"/>
  </w:num>
  <w:num w:numId="30">
    <w:abstractNumId w:val="16"/>
  </w:num>
  <w:num w:numId="31">
    <w:abstractNumId w:val="21"/>
  </w:num>
  <w:num w:numId="32">
    <w:abstractNumId w:val="17"/>
  </w:num>
  <w:num w:numId="33">
    <w:abstractNumId w:val="2"/>
  </w:num>
  <w:num w:numId="34">
    <w:abstractNumId w:val="35"/>
  </w:num>
  <w:num w:numId="35">
    <w:abstractNumId w:val="7"/>
  </w:num>
  <w:num w:numId="36">
    <w:abstractNumId w:val="20"/>
  </w:num>
  <w:num w:numId="37">
    <w:abstractNumId w:val="1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DC"/>
    <w:rsid w:val="00206739"/>
    <w:rsid w:val="002E7AB0"/>
    <w:rsid w:val="004178DC"/>
    <w:rsid w:val="0055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803C1"/>
  <w15:chartTrackingRefBased/>
  <w15:docId w15:val="{F92414D5-E793-49C5-A515-54CF4C29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6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1569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PC</dc:creator>
  <cp:keywords/>
  <dc:description/>
  <cp:lastModifiedBy>Ian PC</cp:lastModifiedBy>
  <cp:revision>1</cp:revision>
  <dcterms:created xsi:type="dcterms:W3CDTF">2025-06-20T04:23:00Z</dcterms:created>
  <dcterms:modified xsi:type="dcterms:W3CDTF">2025-06-20T04:49:00Z</dcterms:modified>
</cp:coreProperties>
</file>